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ascii="黑体" w:hAnsi="黑体" w:eastAsia="黑体" w:cs="黑体"/>
          <w:color w:val="333333"/>
          <w:sz w:val="36"/>
          <w:szCs w:val="36"/>
          <w:shd w:val="clear" w:color="auto" w:fill="FFFFFF"/>
        </w:rPr>
      </w:pPr>
      <w:bookmarkStart w:id="2" w:name="_GoBack"/>
      <w:bookmarkEnd w:id="2"/>
      <w:r>
        <w:rPr>
          <w:rFonts w:hint="eastAsia" w:ascii="黑体" w:hAnsi="黑体" w:eastAsia="黑体" w:cs="黑体"/>
          <w:color w:val="333333"/>
          <w:sz w:val="36"/>
          <w:szCs w:val="36"/>
          <w:shd w:val="clear" w:color="auto" w:fill="FFFFFF"/>
        </w:rPr>
        <w:t>河北省文安县林业局</w:t>
      </w:r>
    </w:p>
    <w:p>
      <w:pPr>
        <w:jc w:val="center"/>
        <w:rPr>
          <w:rFonts w:ascii="黑体" w:hAnsi="黑体" w:eastAsia="黑体" w:cs="黑体"/>
          <w:color w:val="333333"/>
          <w:sz w:val="36"/>
          <w:szCs w:val="36"/>
          <w:shd w:val="clear" w:color="auto" w:fill="FFFFFF"/>
        </w:rPr>
      </w:pPr>
      <w:r>
        <w:rPr>
          <w:rFonts w:hint="eastAsia" w:ascii="黑体" w:hAnsi="黑体" w:eastAsia="黑体" w:cs="黑体"/>
          <w:color w:val="333333"/>
          <w:sz w:val="36"/>
          <w:szCs w:val="36"/>
          <w:shd w:val="clear" w:color="auto" w:fill="FFFFFF"/>
        </w:rPr>
        <w:t>2018年度部门决算信息公开情况说明</w:t>
      </w:r>
    </w:p>
    <w:p>
      <w:pPr>
        <w:jc w:val="center"/>
        <w:rPr>
          <w:rFonts w:ascii="黑体" w:hAnsi="黑体" w:eastAsia="黑体" w:cs="黑体"/>
          <w:color w:val="333333"/>
          <w:sz w:val="36"/>
          <w:szCs w:val="36"/>
          <w:shd w:val="clear" w:color="auto" w:fill="FFFFFF"/>
        </w:rPr>
      </w:pPr>
    </w:p>
    <w:p>
      <w:pPr>
        <w:ind w:firstLine="640" w:firstLineChars="20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按照《预算法》、《河北省财政厅关于印发&lt;河北省预决算公开操作规程实施细则&gt;的通知》（冀财预[2016]129号）等规定，现将2018年部门决算公开如下</w:t>
      </w:r>
    </w:p>
    <w:p>
      <w:pPr>
        <w:pStyle w:val="11"/>
        <w:widowControl/>
        <w:shd w:val="clear" w:color="auto" w:fill="FFFFFF"/>
        <w:spacing w:before="0" w:beforeAutospacing="0" w:after="0" w:afterAutospacing="0" w:line="405" w:lineRule="atLeast"/>
        <w:ind w:firstLine="643" w:firstLineChars="200"/>
        <w:jc w:val="both"/>
        <w:rPr>
          <w:rFonts w:ascii="黑体" w:hAnsi="Arial" w:eastAsia="黑体" w:cs="仿宋_GB2312"/>
          <w:color w:val="333333"/>
          <w:sz w:val="32"/>
          <w:szCs w:val="32"/>
          <w:shd w:val="clear" w:color="auto" w:fill="FFFFFF"/>
        </w:rPr>
      </w:pPr>
      <w:r>
        <w:rPr>
          <w:rFonts w:hint="eastAsia" w:ascii="黑体" w:hAnsi="Cambria" w:eastAsia="黑体" w:cs="黑体"/>
          <w:b/>
          <w:bCs/>
          <w:sz w:val="32"/>
          <w:szCs w:val="32"/>
        </w:rPr>
        <w:t>一、</w:t>
      </w:r>
      <w:r>
        <w:rPr>
          <w:rFonts w:hint="eastAsia" w:ascii="黑体" w:hAnsi="Arial" w:eastAsia="黑体" w:cs="仿宋_GB2312"/>
          <w:color w:val="333333"/>
          <w:sz w:val="32"/>
          <w:szCs w:val="32"/>
          <w:shd w:val="clear" w:color="auto" w:fill="FFFFFF"/>
        </w:rPr>
        <w:t>部门职责及机构设置情况</w:t>
      </w:r>
    </w:p>
    <w:p>
      <w:pPr>
        <w:pStyle w:val="2"/>
        <w:spacing w:before="0" w:after="0" w:line="600" w:lineRule="exact"/>
        <w:ind w:firstLine="640" w:firstLineChars="200"/>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部门职责</w:t>
      </w:r>
    </w:p>
    <w:p>
      <w:pPr>
        <w:pStyle w:val="11"/>
        <w:widowControl/>
        <w:shd w:val="clear" w:color="auto" w:fill="FFFFFF"/>
        <w:spacing w:before="0" w:beforeAutospacing="0" w:after="0" w:afterAutospacing="0" w:line="405" w:lineRule="atLeast"/>
        <w:ind w:firstLine="640" w:firstLineChars="200"/>
        <w:rPr>
          <w:rFonts w:hint="eastAsia" w:ascii="仿宋_GB2312" w:hAnsi="仿宋" w:eastAsia="仿宋_GB2312" w:cs="仿宋_GB2312"/>
          <w:color w:val="333333"/>
          <w:sz w:val="32"/>
          <w:szCs w:val="32"/>
          <w:shd w:val="clear" w:color="auto" w:fill="FFFFFF"/>
        </w:rPr>
      </w:pPr>
      <w:r>
        <w:rPr>
          <w:rFonts w:hint="eastAsia" w:ascii="仿宋_GB2312" w:hAnsi="仿宋" w:eastAsia="仿宋_GB2312" w:cs="仿宋_GB2312"/>
          <w:color w:val="333333"/>
          <w:sz w:val="32"/>
          <w:szCs w:val="32"/>
          <w:shd w:val="clear" w:color="auto" w:fill="FFFFFF"/>
        </w:rPr>
        <w:t>文安</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业</w:t>
      </w:r>
      <w:r>
        <w:rPr>
          <w:rFonts w:hint="eastAsia" w:ascii="仿宋_GB2312" w:hAnsi="仿宋" w:eastAsia="仿宋_GB2312" w:cs="宋体"/>
          <w:color w:val="333333"/>
          <w:sz w:val="32"/>
          <w:szCs w:val="32"/>
          <w:shd w:val="clear" w:color="auto" w:fill="FFFFFF"/>
        </w:rPr>
        <w:t>局</w:t>
      </w:r>
      <w:r>
        <w:rPr>
          <w:rFonts w:hint="eastAsia" w:ascii="仿宋_GB2312" w:hAnsi="仿宋" w:eastAsia="仿宋_GB2312" w:cs="___WRD_EMBED_SUB_39"/>
          <w:color w:val="333333"/>
          <w:sz w:val="32"/>
          <w:szCs w:val="32"/>
          <w:shd w:val="clear" w:color="auto" w:fill="FFFFFF"/>
        </w:rPr>
        <w:t>是</w:t>
      </w:r>
      <w:r>
        <w:rPr>
          <w:rFonts w:hint="eastAsia" w:ascii="仿宋_GB2312" w:hAnsi="仿宋" w:eastAsia="仿宋_GB2312" w:cs="宋体"/>
          <w:color w:val="333333"/>
          <w:sz w:val="32"/>
          <w:szCs w:val="32"/>
          <w:shd w:val="clear" w:color="auto" w:fill="FFFFFF"/>
        </w:rPr>
        <w:t>县</w:t>
      </w:r>
      <w:r>
        <w:rPr>
          <w:rFonts w:hint="eastAsia" w:ascii="仿宋_GB2312" w:hAnsi="仿宋" w:eastAsia="仿宋_GB2312" w:cs="___WRD_EMBED_SUB_39"/>
          <w:color w:val="333333"/>
          <w:sz w:val="32"/>
          <w:szCs w:val="32"/>
          <w:shd w:val="clear" w:color="auto" w:fill="FFFFFF"/>
        </w:rPr>
        <w:t>政府</w:t>
      </w:r>
      <w:r>
        <w:rPr>
          <w:rFonts w:hint="eastAsia" w:ascii="仿宋_GB2312" w:hAnsi="仿宋" w:eastAsia="仿宋_GB2312" w:cs="宋体"/>
          <w:color w:val="333333"/>
          <w:sz w:val="32"/>
          <w:szCs w:val="32"/>
          <w:shd w:val="clear" w:color="auto" w:fill="FFFFFF"/>
        </w:rPr>
        <w:t>直属</w:t>
      </w:r>
      <w:r>
        <w:rPr>
          <w:rFonts w:hint="eastAsia" w:ascii="仿宋_GB2312" w:hAnsi="仿宋" w:eastAsia="仿宋_GB2312" w:cs="___WRD_EMBED_SUB_39"/>
          <w:color w:val="333333"/>
          <w:sz w:val="32"/>
          <w:szCs w:val="32"/>
          <w:shd w:val="clear" w:color="auto" w:fill="FFFFFF"/>
        </w:rPr>
        <w:t>事业单位，是主管</w:t>
      </w:r>
      <w:r>
        <w:rPr>
          <w:rFonts w:hint="eastAsia" w:ascii="仿宋_GB2312" w:hAnsi="仿宋" w:eastAsia="仿宋_GB2312" w:cs="宋体"/>
          <w:color w:val="333333"/>
          <w:sz w:val="32"/>
          <w:szCs w:val="32"/>
          <w:shd w:val="clear" w:color="auto" w:fill="FFFFFF"/>
        </w:rPr>
        <w:t>林</w:t>
      </w:r>
      <w:r>
        <w:rPr>
          <w:rFonts w:hint="eastAsia" w:ascii="仿宋_GB2312" w:hAnsi="仿宋" w:eastAsia="仿宋_GB2312" w:cs="___WRD_EMBED_SUB_39"/>
          <w:color w:val="333333"/>
          <w:sz w:val="32"/>
          <w:szCs w:val="32"/>
          <w:shd w:val="clear" w:color="auto" w:fill="FFFFFF"/>
        </w:rPr>
        <w:t>业的职能部门。基本职能：组织实</w:t>
      </w:r>
      <w:r>
        <w:rPr>
          <w:rFonts w:hint="eastAsia" w:ascii="仿宋_GB2312" w:hAnsi="仿宋" w:eastAsia="仿宋_GB2312" w:cs="宋体"/>
          <w:color w:val="333333"/>
          <w:sz w:val="32"/>
          <w:szCs w:val="32"/>
          <w:shd w:val="clear" w:color="auto" w:fill="FFFFFF"/>
        </w:rPr>
        <w:t>施</w:t>
      </w:r>
      <w:r>
        <w:rPr>
          <w:rFonts w:hint="eastAsia" w:ascii="仿宋_GB2312" w:hAnsi="仿宋" w:eastAsia="仿宋_GB2312" w:cs="___WRD_EMBED_SUB_39"/>
          <w:color w:val="333333"/>
          <w:sz w:val="32"/>
          <w:szCs w:val="32"/>
          <w:shd w:val="clear" w:color="auto" w:fill="FFFFFF"/>
        </w:rPr>
        <w:t>国家关于</w:t>
      </w:r>
      <w:r>
        <w:rPr>
          <w:rFonts w:hint="eastAsia" w:ascii="仿宋_GB2312" w:hAnsi="仿宋" w:eastAsia="仿宋_GB2312" w:cs="宋体"/>
          <w:color w:val="333333"/>
          <w:sz w:val="32"/>
          <w:szCs w:val="32"/>
          <w:shd w:val="clear" w:color="auto" w:fill="FFFFFF"/>
        </w:rPr>
        <w:t>林</w:t>
      </w:r>
      <w:r>
        <w:rPr>
          <w:rFonts w:hint="eastAsia" w:ascii="仿宋_GB2312" w:hAnsi="仿宋" w:eastAsia="仿宋_GB2312" w:cs="___WRD_EMBED_SUB_39"/>
          <w:color w:val="333333"/>
          <w:sz w:val="32"/>
          <w:szCs w:val="32"/>
          <w:shd w:val="clear" w:color="auto" w:fill="FFFFFF"/>
        </w:rPr>
        <w:t>业工作的方</w:t>
      </w:r>
      <w:r>
        <w:rPr>
          <w:rFonts w:hint="eastAsia" w:ascii="仿宋_GB2312" w:hAnsi="仿宋" w:eastAsia="仿宋_GB2312" w:cs="宋体"/>
          <w:color w:val="333333"/>
          <w:sz w:val="32"/>
          <w:szCs w:val="32"/>
          <w:shd w:val="clear" w:color="auto" w:fill="FFFFFF"/>
        </w:rPr>
        <w:t>针</w:t>
      </w:r>
      <w:r>
        <w:rPr>
          <w:rFonts w:hint="eastAsia" w:ascii="仿宋_GB2312" w:hAnsi="仿宋" w:eastAsia="仿宋_GB2312" w:cs="___WRD_EMBED_SUB_39"/>
          <w:color w:val="333333"/>
          <w:sz w:val="32"/>
          <w:szCs w:val="32"/>
          <w:shd w:val="clear" w:color="auto" w:fill="FFFFFF"/>
        </w:rPr>
        <w:t>、政</w:t>
      </w:r>
      <w:r>
        <w:rPr>
          <w:rFonts w:hint="eastAsia" w:ascii="仿宋_GB2312" w:hAnsi="仿宋" w:eastAsia="仿宋_GB2312" w:cs="宋体"/>
          <w:color w:val="333333"/>
          <w:sz w:val="32"/>
          <w:szCs w:val="32"/>
          <w:shd w:val="clear" w:color="auto" w:fill="FFFFFF"/>
        </w:rPr>
        <w:t>策</w:t>
      </w:r>
      <w:r>
        <w:rPr>
          <w:rFonts w:hint="eastAsia" w:ascii="仿宋_GB2312" w:hAnsi="仿宋" w:eastAsia="仿宋_GB2312" w:cs="___WRD_EMBED_SUB_39"/>
          <w:color w:val="333333"/>
          <w:sz w:val="32"/>
          <w:szCs w:val="32"/>
          <w:shd w:val="clear" w:color="auto" w:fill="FFFFFF"/>
        </w:rPr>
        <w:t>、法</w:t>
      </w:r>
      <w:r>
        <w:rPr>
          <w:rFonts w:hint="eastAsia" w:ascii="仿宋_GB2312" w:hAnsi="仿宋" w:eastAsia="仿宋_GB2312" w:cs="宋体"/>
          <w:color w:val="333333"/>
          <w:sz w:val="32"/>
          <w:szCs w:val="32"/>
          <w:shd w:val="clear" w:color="auto" w:fill="FFFFFF"/>
        </w:rPr>
        <w:t>律</w:t>
      </w:r>
      <w:r>
        <w:rPr>
          <w:rFonts w:hint="eastAsia" w:ascii="仿宋_GB2312" w:hAnsi="仿宋" w:eastAsia="仿宋_GB2312" w:cs="___WRD_EMBED_SUB_39"/>
          <w:color w:val="333333"/>
          <w:sz w:val="32"/>
          <w:szCs w:val="32"/>
          <w:shd w:val="clear" w:color="auto" w:fill="FFFFFF"/>
        </w:rPr>
        <w:t>法规，并</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w:t>
      </w:r>
      <w:r>
        <w:rPr>
          <w:rFonts w:hint="eastAsia" w:ascii="仿宋_GB2312" w:hAnsi="仿宋" w:eastAsia="仿宋_GB2312" w:cs="宋体"/>
          <w:color w:val="333333"/>
          <w:sz w:val="32"/>
          <w:szCs w:val="32"/>
          <w:shd w:val="clear" w:color="auto" w:fill="FFFFFF"/>
        </w:rPr>
        <w:t>检查</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研究拟</w:t>
      </w:r>
      <w:r>
        <w:rPr>
          <w:rFonts w:hint="eastAsia" w:ascii="仿宋_GB2312" w:hAnsi="仿宋" w:eastAsia="仿宋_GB2312" w:cs="___WRD_EMBED_SUB_39"/>
          <w:color w:val="333333"/>
          <w:sz w:val="32"/>
          <w:szCs w:val="32"/>
          <w:shd w:val="clear" w:color="auto" w:fill="FFFFFF"/>
        </w:rPr>
        <w:t>定全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业生</w:t>
      </w:r>
      <w:r>
        <w:rPr>
          <w:rFonts w:hint="eastAsia" w:ascii="仿宋_GB2312" w:hAnsi="仿宋" w:eastAsia="仿宋_GB2312" w:cs="宋体"/>
          <w:color w:val="333333"/>
          <w:sz w:val="32"/>
          <w:szCs w:val="32"/>
          <w:shd w:val="clear" w:color="auto" w:fill="FFFFFF"/>
        </w:rPr>
        <w:t>态环</w:t>
      </w:r>
      <w:r>
        <w:rPr>
          <w:rFonts w:hint="eastAsia" w:ascii="仿宋_GB2312" w:hAnsi="仿宋" w:eastAsia="仿宋_GB2312" w:cs="___WRD_EMBED_SUB_39"/>
          <w:color w:val="333333"/>
          <w:sz w:val="32"/>
          <w:szCs w:val="32"/>
          <w:shd w:val="clear" w:color="auto" w:fill="FFFFFF"/>
        </w:rPr>
        <w:t>境建设、</w:t>
      </w:r>
      <w:r>
        <w:rPr>
          <w:rFonts w:hint="eastAsia" w:ascii="仿宋_GB2312" w:hAnsi="仿宋" w:eastAsia="仿宋_GB2312" w:cs="宋体"/>
          <w:color w:val="333333"/>
          <w:sz w:val="32"/>
          <w:szCs w:val="32"/>
          <w:shd w:val="clear" w:color="auto" w:fill="FFFFFF"/>
        </w:rPr>
        <w:t>森林</w:t>
      </w:r>
      <w:r>
        <w:rPr>
          <w:rFonts w:hint="eastAsia" w:ascii="仿宋_GB2312" w:hAnsi="仿宋" w:eastAsia="仿宋_GB2312" w:cs="___WRD_EMBED_SUB_39"/>
          <w:color w:val="333333"/>
          <w:sz w:val="32"/>
          <w:szCs w:val="32"/>
          <w:shd w:val="clear" w:color="auto" w:fill="FFFFFF"/>
        </w:rPr>
        <w:t>资源保护、国</w:t>
      </w:r>
      <w:r>
        <w:rPr>
          <w:rFonts w:hint="eastAsia" w:ascii="仿宋_GB2312" w:hAnsi="仿宋" w:eastAsia="仿宋_GB2312" w:cs="宋体"/>
          <w:color w:val="333333"/>
          <w:sz w:val="32"/>
          <w:szCs w:val="32"/>
          <w:shd w:val="clear" w:color="auto" w:fill="FFFFFF"/>
        </w:rPr>
        <w:t>土绿</w:t>
      </w:r>
      <w:r>
        <w:rPr>
          <w:rFonts w:hint="eastAsia" w:ascii="仿宋_GB2312" w:hAnsi="仿宋" w:eastAsia="仿宋_GB2312" w:cs="___WRD_EMBED_SUB_39"/>
          <w:color w:val="333333"/>
          <w:sz w:val="32"/>
          <w:szCs w:val="32"/>
          <w:shd w:val="clear" w:color="auto" w:fill="FFFFFF"/>
        </w:rPr>
        <w:t>化、</w:t>
      </w:r>
      <w:r>
        <w:rPr>
          <w:rFonts w:hint="eastAsia" w:ascii="仿宋_GB2312" w:hAnsi="仿宋" w:eastAsia="仿宋_GB2312" w:cs="宋体"/>
          <w:color w:val="333333"/>
          <w:sz w:val="32"/>
          <w:szCs w:val="32"/>
          <w:shd w:val="clear" w:color="auto" w:fill="FFFFFF"/>
        </w:rPr>
        <w:t>防治荒漠</w:t>
      </w:r>
      <w:r>
        <w:rPr>
          <w:rFonts w:hint="eastAsia" w:ascii="仿宋_GB2312" w:hAnsi="仿宋" w:eastAsia="仿宋_GB2312" w:cs="___WRD_EMBED_SUB_39"/>
          <w:color w:val="333333"/>
          <w:sz w:val="32"/>
          <w:szCs w:val="32"/>
          <w:shd w:val="clear" w:color="auto" w:fill="FFFFFF"/>
        </w:rPr>
        <w:t>化和</w:t>
      </w:r>
      <w:r>
        <w:rPr>
          <w:rFonts w:hint="eastAsia" w:ascii="仿宋_GB2312" w:hAnsi="仿宋" w:eastAsia="仿宋_GB2312" w:cs="宋体"/>
          <w:color w:val="333333"/>
          <w:sz w:val="32"/>
          <w:szCs w:val="32"/>
          <w:shd w:val="clear" w:color="auto" w:fill="FFFFFF"/>
        </w:rPr>
        <w:t>林</w:t>
      </w:r>
      <w:r>
        <w:rPr>
          <w:rFonts w:hint="eastAsia" w:ascii="仿宋_GB2312" w:hAnsi="仿宋" w:eastAsia="仿宋_GB2312" w:cs="___WRD_EMBED_SUB_39"/>
          <w:color w:val="333333"/>
          <w:sz w:val="32"/>
          <w:szCs w:val="32"/>
          <w:shd w:val="clear" w:color="auto" w:fill="FFFFFF"/>
        </w:rPr>
        <w:t>业产业发展规</w:t>
      </w:r>
      <w:r>
        <w:rPr>
          <w:rFonts w:hint="eastAsia" w:ascii="仿宋_GB2312" w:hAnsi="仿宋" w:eastAsia="仿宋_GB2312" w:cs="宋体"/>
          <w:color w:val="333333"/>
          <w:sz w:val="32"/>
          <w:szCs w:val="32"/>
          <w:shd w:val="clear" w:color="auto" w:fill="FFFFFF"/>
        </w:rPr>
        <w:t>章</w:t>
      </w:r>
      <w:r>
        <w:rPr>
          <w:rFonts w:hint="eastAsia" w:ascii="仿宋_GB2312" w:hAnsi="仿宋" w:eastAsia="仿宋_GB2312" w:cs="___WRD_EMBED_SUB_39"/>
          <w:color w:val="333333"/>
          <w:sz w:val="32"/>
          <w:szCs w:val="32"/>
          <w:shd w:val="clear" w:color="auto" w:fill="FFFFFF"/>
        </w:rPr>
        <w:t>和政</w:t>
      </w:r>
      <w:r>
        <w:rPr>
          <w:rFonts w:hint="eastAsia" w:ascii="仿宋_GB2312" w:hAnsi="仿宋" w:eastAsia="仿宋_GB2312" w:cs="宋体"/>
          <w:color w:val="333333"/>
          <w:sz w:val="32"/>
          <w:szCs w:val="32"/>
          <w:shd w:val="clear" w:color="auto" w:fill="FFFFFF"/>
        </w:rPr>
        <w:t>策</w:t>
      </w:r>
      <w:r>
        <w:rPr>
          <w:rFonts w:hint="eastAsia" w:ascii="仿宋_GB2312" w:hAnsi="仿宋" w:eastAsia="仿宋_GB2312" w:cs="___WRD_EMBED_SUB_39"/>
          <w:color w:val="333333"/>
          <w:sz w:val="32"/>
          <w:szCs w:val="32"/>
          <w:shd w:val="clear" w:color="auto" w:fill="FFFFFF"/>
        </w:rPr>
        <w:t>，经批准后组织实</w:t>
      </w:r>
      <w:r>
        <w:rPr>
          <w:rFonts w:hint="eastAsia" w:ascii="仿宋_GB2312" w:hAnsi="仿宋" w:eastAsia="仿宋_GB2312" w:cs="宋体"/>
          <w:color w:val="333333"/>
          <w:sz w:val="32"/>
          <w:szCs w:val="32"/>
          <w:shd w:val="clear" w:color="auto" w:fill="FFFFFF"/>
        </w:rPr>
        <w:t>施</w:t>
      </w:r>
      <w:r>
        <w:rPr>
          <w:rFonts w:hint="eastAsia" w:ascii="仿宋_GB2312" w:hAnsi="仿宋" w:eastAsia="仿宋_GB2312" w:cs="___WRD_EMBED_SUB_39"/>
          <w:color w:val="333333"/>
          <w:sz w:val="32"/>
          <w:szCs w:val="32"/>
          <w:shd w:val="clear" w:color="auto" w:fill="FFFFFF"/>
        </w:rPr>
        <w:t>并</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w:t>
      </w:r>
      <w:r>
        <w:rPr>
          <w:rFonts w:hint="eastAsia" w:ascii="仿宋_GB2312" w:hAnsi="仿宋" w:eastAsia="仿宋_GB2312" w:cs="宋体"/>
          <w:color w:val="333333"/>
          <w:sz w:val="32"/>
          <w:szCs w:val="32"/>
          <w:shd w:val="clear" w:color="auto" w:fill="FFFFFF"/>
        </w:rPr>
        <w:t>检查</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责全</w:t>
      </w:r>
      <w:r>
        <w:rPr>
          <w:rFonts w:hint="eastAsia" w:ascii="仿宋_GB2312" w:hAnsi="仿宋" w:eastAsia="仿宋_GB2312" w:cs="宋体"/>
          <w:color w:val="333333"/>
          <w:sz w:val="32"/>
          <w:szCs w:val="32"/>
          <w:shd w:val="clear" w:color="auto" w:fill="FFFFFF"/>
        </w:rPr>
        <w:t>县植树造林</w:t>
      </w:r>
      <w:r>
        <w:rPr>
          <w:rFonts w:hint="eastAsia" w:ascii="仿宋_GB2312" w:hAnsi="仿宋" w:eastAsia="仿宋_GB2312" w:cs="___WRD_EMBED_SUB_39"/>
          <w:color w:val="333333"/>
          <w:sz w:val="32"/>
          <w:szCs w:val="32"/>
          <w:shd w:val="clear" w:color="auto" w:fill="FFFFFF"/>
        </w:rPr>
        <w:t>、国</w:t>
      </w:r>
      <w:r>
        <w:rPr>
          <w:rFonts w:hint="eastAsia" w:ascii="仿宋_GB2312" w:hAnsi="仿宋" w:eastAsia="仿宋_GB2312" w:cs="宋体"/>
          <w:color w:val="333333"/>
          <w:sz w:val="32"/>
          <w:szCs w:val="32"/>
          <w:shd w:val="clear" w:color="auto" w:fill="FFFFFF"/>
        </w:rPr>
        <w:t>土绿</w:t>
      </w:r>
      <w:r>
        <w:rPr>
          <w:rFonts w:hint="eastAsia" w:ascii="仿宋_GB2312" w:hAnsi="仿宋" w:eastAsia="仿宋_GB2312" w:cs="___WRD_EMBED_SUB_39"/>
          <w:color w:val="333333"/>
          <w:sz w:val="32"/>
          <w:szCs w:val="32"/>
          <w:shd w:val="clear" w:color="auto" w:fill="FFFFFF"/>
        </w:rPr>
        <w:t>化、</w:t>
      </w:r>
      <w:r>
        <w:rPr>
          <w:rFonts w:hint="eastAsia" w:ascii="仿宋_GB2312" w:hAnsi="仿宋" w:eastAsia="仿宋_GB2312" w:cs="宋体"/>
          <w:color w:val="333333"/>
          <w:sz w:val="32"/>
          <w:szCs w:val="32"/>
          <w:shd w:val="clear" w:color="auto" w:fill="FFFFFF"/>
        </w:rPr>
        <w:t>防治荒漠</w:t>
      </w:r>
      <w:r>
        <w:rPr>
          <w:rFonts w:hint="eastAsia" w:ascii="仿宋_GB2312" w:hAnsi="仿宋" w:eastAsia="仿宋_GB2312" w:cs="___WRD_EMBED_SUB_39"/>
          <w:color w:val="333333"/>
          <w:sz w:val="32"/>
          <w:szCs w:val="32"/>
          <w:shd w:val="clear" w:color="auto" w:fill="FFFFFF"/>
        </w:rPr>
        <w:t>化和</w:t>
      </w:r>
      <w:r>
        <w:rPr>
          <w:rFonts w:hint="eastAsia" w:ascii="仿宋_GB2312" w:hAnsi="仿宋" w:eastAsia="仿宋_GB2312" w:cs="宋体"/>
          <w:color w:val="333333"/>
          <w:sz w:val="32"/>
          <w:szCs w:val="32"/>
          <w:shd w:val="clear" w:color="auto" w:fill="FFFFFF"/>
        </w:rPr>
        <w:t>防沙</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治沙</w:t>
      </w:r>
      <w:r>
        <w:rPr>
          <w:rFonts w:hint="eastAsia" w:ascii="仿宋_GB2312" w:hAnsi="仿宋" w:eastAsia="仿宋_GB2312" w:cs="___WRD_EMBED_SUB_39"/>
          <w:color w:val="333333"/>
          <w:sz w:val="32"/>
          <w:szCs w:val="32"/>
          <w:shd w:val="clear" w:color="auto" w:fill="FFFFFF"/>
        </w:rPr>
        <w:t>工作，指导</w:t>
      </w:r>
      <w:r>
        <w:rPr>
          <w:rFonts w:hint="eastAsia" w:ascii="仿宋_GB2312" w:hAnsi="仿宋" w:eastAsia="仿宋_GB2312" w:cs="宋体"/>
          <w:color w:val="333333"/>
          <w:sz w:val="32"/>
          <w:szCs w:val="32"/>
          <w:shd w:val="clear" w:color="auto" w:fill="FFFFFF"/>
        </w:rPr>
        <w:t>林场</w:t>
      </w:r>
      <w:r>
        <w:rPr>
          <w:rFonts w:hint="eastAsia" w:ascii="仿宋_GB2312" w:hAnsi="仿宋" w:eastAsia="仿宋_GB2312" w:cs="___WRD_EMBED_SUB_39"/>
          <w:color w:val="333333"/>
          <w:sz w:val="32"/>
          <w:szCs w:val="32"/>
          <w:shd w:val="clear" w:color="auto" w:fill="FFFFFF"/>
        </w:rPr>
        <w:t>、果</w:t>
      </w:r>
      <w:r>
        <w:rPr>
          <w:rFonts w:hint="eastAsia" w:ascii="仿宋_GB2312" w:hAnsi="仿宋" w:eastAsia="仿宋_GB2312" w:cs="宋体"/>
          <w:color w:val="333333"/>
          <w:sz w:val="32"/>
          <w:szCs w:val="32"/>
          <w:shd w:val="clear" w:color="auto" w:fill="FFFFFF"/>
        </w:rPr>
        <w:t>园</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苗圃</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花圃</w:t>
      </w:r>
      <w:r>
        <w:rPr>
          <w:rFonts w:hint="eastAsia" w:ascii="仿宋_GB2312" w:hAnsi="仿宋" w:eastAsia="仿宋_GB2312" w:cs="___WRD_EMBED_SUB_39"/>
          <w:color w:val="333333"/>
          <w:sz w:val="32"/>
          <w:szCs w:val="32"/>
          <w:shd w:val="clear" w:color="auto" w:fill="FFFFFF"/>
        </w:rPr>
        <w:t>建设和管理；指导基</w:t>
      </w:r>
      <w:r>
        <w:rPr>
          <w:rFonts w:hint="eastAsia" w:ascii="仿宋_GB2312" w:hAnsi="仿宋" w:eastAsia="仿宋_GB2312" w:cs="宋体"/>
          <w:color w:val="333333"/>
          <w:sz w:val="32"/>
          <w:szCs w:val="32"/>
          <w:shd w:val="clear" w:color="auto" w:fill="FFFFFF"/>
        </w:rPr>
        <w:t>层林</w:t>
      </w:r>
      <w:r>
        <w:rPr>
          <w:rFonts w:hint="eastAsia" w:ascii="仿宋_GB2312" w:hAnsi="仿宋" w:eastAsia="仿宋_GB2312" w:cs="___WRD_EMBED_SUB_39"/>
          <w:color w:val="333333"/>
          <w:sz w:val="32"/>
          <w:szCs w:val="32"/>
          <w:shd w:val="clear" w:color="auto" w:fill="FFFFFF"/>
        </w:rPr>
        <w:t>业工作机构建设；组织指导全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业资源的</w:t>
      </w:r>
      <w:r>
        <w:rPr>
          <w:rFonts w:hint="eastAsia" w:ascii="仿宋_GB2312" w:hAnsi="仿宋" w:eastAsia="仿宋_GB2312" w:cs="宋体"/>
          <w:color w:val="333333"/>
          <w:sz w:val="32"/>
          <w:szCs w:val="32"/>
          <w:shd w:val="clear" w:color="auto" w:fill="FFFFFF"/>
        </w:rPr>
        <w:t>调查</w:t>
      </w:r>
      <w:r>
        <w:rPr>
          <w:rFonts w:hint="eastAsia" w:ascii="仿宋_GB2312" w:hAnsi="仿宋" w:eastAsia="仿宋_GB2312" w:cs="___WRD_EMBED_SUB_39"/>
          <w:color w:val="333333"/>
          <w:sz w:val="32"/>
          <w:szCs w:val="32"/>
          <w:shd w:val="clear" w:color="auto" w:fill="FFFFFF"/>
        </w:rPr>
        <w:t>、规</w:t>
      </w:r>
      <w:r>
        <w:rPr>
          <w:rFonts w:hint="eastAsia" w:ascii="仿宋_GB2312" w:hAnsi="仿宋" w:eastAsia="仿宋_GB2312" w:cs="宋体"/>
          <w:color w:val="333333"/>
          <w:sz w:val="32"/>
          <w:szCs w:val="32"/>
          <w:shd w:val="clear" w:color="auto" w:fill="FFFFFF"/>
        </w:rPr>
        <w:t>划</w:t>
      </w:r>
      <w:r>
        <w:rPr>
          <w:rFonts w:hint="eastAsia" w:ascii="仿宋_GB2312" w:hAnsi="仿宋" w:eastAsia="仿宋_GB2312" w:cs="___WRD_EMBED_SUB_39"/>
          <w:color w:val="333333"/>
          <w:sz w:val="32"/>
          <w:szCs w:val="32"/>
          <w:shd w:val="clear" w:color="auto" w:fill="FFFFFF"/>
        </w:rPr>
        <w:t>、设计、动</w:t>
      </w:r>
      <w:r>
        <w:rPr>
          <w:rFonts w:hint="eastAsia" w:ascii="仿宋_GB2312" w:hAnsi="仿宋" w:eastAsia="仿宋_GB2312" w:cs="宋体"/>
          <w:color w:val="333333"/>
          <w:sz w:val="32"/>
          <w:szCs w:val="32"/>
          <w:shd w:val="clear" w:color="auto" w:fill="FFFFFF"/>
        </w:rPr>
        <w:t>态监测</w:t>
      </w:r>
      <w:r>
        <w:rPr>
          <w:rFonts w:hint="eastAsia" w:ascii="仿宋_GB2312" w:hAnsi="仿宋" w:eastAsia="仿宋_GB2312" w:cs="___WRD_EMBED_SUB_39"/>
          <w:color w:val="333333"/>
          <w:sz w:val="32"/>
          <w:szCs w:val="32"/>
          <w:shd w:val="clear" w:color="auto" w:fill="FFFFFF"/>
        </w:rPr>
        <w:t>、统计及管理工作；组织编制</w:t>
      </w:r>
      <w:r>
        <w:rPr>
          <w:rFonts w:hint="eastAsia" w:ascii="仿宋_GB2312" w:hAnsi="仿宋" w:eastAsia="仿宋_GB2312" w:cs="宋体"/>
          <w:color w:val="333333"/>
          <w:sz w:val="32"/>
          <w:szCs w:val="32"/>
          <w:shd w:val="clear" w:color="auto" w:fill="FFFFFF"/>
        </w:rPr>
        <w:t>森林</w:t>
      </w:r>
      <w:r>
        <w:rPr>
          <w:rFonts w:hint="eastAsia" w:ascii="仿宋_GB2312" w:hAnsi="仿宋" w:eastAsia="仿宋_GB2312" w:cs="___WRD_EMBED_SUB_39"/>
          <w:color w:val="333333"/>
          <w:sz w:val="32"/>
          <w:szCs w:val="32"/>
          <w:shd w:val="clear" w:color="auto" w:fill="FFFFFF"/>
        </w:rPr>
        <w:t>采</w:t>
      </w:r>
      <w:r>
        <w:rPr>
          <w:rFonts w:hint="eastAsia" w:ascii="仿宋_GB2312" w:hAnsi="仿宋" w:eastAsia="仿宋_GB2312" w:cs="宋体"/>
          <w:color w:val="333333"/>
          <w:sz w:val="32"/>
          <w:szCs w:val="32"/>
          <w:shd w:val="clear" w:color="auto" w:fill="FFFFFF"/>
        </w:rPr>
        <w:t>伐</w:t>
      </w:r>
      <w:r>
        <w:rPr>
          <w:rFonts w:hint="eastAsia" w:ascii="仿宋_GB2312" w:hAnsi="仿宋" w:eastAsia="仿宋_GB2312" w:cs="___WRD_EMBED_SUB_39"/>
          <w:color w:val="333333"/>
          <w:sz w:val="32"/>
          <w:szCs w:val="32"/>
          <w:shd w:val="clear" w:color="auto" w:fill="FFFFFF"/>
        </w:rPr>
        <w:t>限额，报上级主管部门批准后</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督执行，</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督执行</w:t>
      </w:r>
      <w:r>
        <w:rPr>
          <w:rFonts w:hint="eastAsia" w:ascii="仿宋_GB2312" w:hAnsi="仿宋" w:eastAsia="仿宋_GB2312" w:cs="宋体"/>
          <w:color w:val="333333"/>
          <w:sz w:val="32"/>
          <w:szCs w:val="32"/>
          <w:shd w:val="clear" w:color="auto" w:fill="FFFFFF"/>
        </w:rPr>
        <w:t>林木凭</w:t>
      </w:r>
      <w:r>
        <w:rPr>
          <w:rFonts w:hint="eastAsia" w:ascii="仿宋_GB2312" w:hAnsi="仿宋" w:eastAsia="仿宋_GB2312" w:cs="___WRD_EMBED_SUB_39"/>
          <w:color w:val="333333"/>
          <w:sz w:val="32"/>
          <w:szCs w:val="32"/>
          <w:shd w:val="clear" w:color="auto" w:fill="FFFFFF"/>
        </w:rPr>
        <w:t>证采</w:t>
      </w:r>
      <w:r>
        <w:rPr>
          <w:rFonts w:hint="eastAsia" w:ascii="仿宋_GB2312" w:hAnsi="仿宋" w:eastAsia="仿宋_GB2312" w:cs="宋体"/>
          <w:color w:val="333333"/>
          <w:sz w:val="32"/>
          <w:szCs w:val="32"/>
          <w:shd w:val="clear" w:color="auto" w:fill="FFFFFF"/>
        </w:rPr>
        <w:t>伐</w:t>
      </w:r>
      <w:r>
        <w:rPr>
          <w:rFonts w:hint="eastAsia" w:ascii="仿宋_GB2312" w:hAnsi="仿宋" w:eastAsia="仿宋_GB2312" w:cs="___WRD_EMBED_SUB_39"/>
          <w:color w:val="333333"/>
          <w:sz w:val="32"/>
          <w:szCs w:val="32"/>
          <w:shd w:val="clear" w:color="auto" w:fill="FFFFFF"/>
        </w:rPr>
        <w:t>与运</w:t>
      </w:r>
      <w:r>
        <w:rPr>
          <w:rFonts w:hint="eastAsia" w:ascii="仿宋_GB2312" w:hAnsi="仿宋" w:eastAsia="仿宋_GB2312" w:cs="宋体"/>
          <w:color w:val="333333"/>
          <w:sz w:val="32"/>
          <w:szCs w:val="32"/>
          <w:shd w:val="clear" w:color="auto" w:fill="FFFFFF"/>
        </w:rPr>
        <w:t>输</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w:t>
      </w:r>
      <w:r>
        <w:rPr>
          <w:rFonts w:hint="eastAsia" w:ascii="仿宋_GB2312" w:hAnsi="仿宋" w:eastAsia="仿宋_GB2312" w:cs="宋体"/>
          <w:color w:val="333333"/>
          <w:sz w:val="32"/>
          <w:szCs w:val="32"/>
          <w:shd w:val="clear" w:color="auto" w:fill="FFFFFF"/>
        </w:rPr>
        <w:t>林地</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林权</w:t>
      </w:r>
      <w:r>
        <w:rPr>
          <w:rFonts w:hint="eastAsia" w:ascii="仿宋_GB2312" w:hAnsi="仿宋" w:eastAsia="仿宋_GB2312" w:cs="___WRD_EMBED_SUB_39"/>
          <w:color w:val="333333"/>
          <w:sz w:val="32"/>
          <w:szCs w:val="32"/>
          <w:shd w:val="clear" w:color="auto" w:fill="FFFFFF"/>
        </w:rPr>
        <w:t>管理，</w:t>
      </w:r>
      <w:r>
        <w:rPr>
          <w:rFonts w:hint="eastAsia" w:ascii="仿宋_GB2312" w:hAnsi="仿宋" w:eastAsia="仿宋_GB2312" w:cs="宋体"/>
          <w:color w:val="333333"/>
          <w:sz w:val="32"/>
          <w:szCs w:val="32"/>
          <w:shd w:val="clear" w:color="auto" w:fill="FFFFFF"/>
        </w:rPr>
        <w:t>林地征</w:t>
      </w:r>
      <w:r>
        <w:rPr>
          <w:rFonts w:hint="eastAsia" w:ascii="仿宋_GB2312" w:hAnsi="仿宋" w:eastAsia="仿宋_GB2312" w:cs="___WRD_EMBED_SUB_39"/>
          <w:color w:val="333333"/>
          <w:sz w:val="32"/>
          <w:szCs w:val="32"/>
          <w:shd w:val="clear" w:color="auto" w:fill="FFFFFF"/>
        </w:rPr>
        <w:t>用、占用的初</w:t>
      </w:r>
      <w:r>
        <w:rPr>
          <w:rFonts w:hint="eastAsia" w:ascii="仿宋_GB2312" w:hAnsi="仿宋" w:eastAsia="仿宋_GB2312" w:cs="宋体"/>
          <w:color w:val="333333"/>
          <w:sz w:val="32"/>
          <w:szCs w:val="32"/>
          <w:shd w:val="clear" w:color="auto" w:fill="FFFFFF"/>
        </w:rPr>
        <w:t>审</w:t>
      </w:r>
      <w:r>
        <w:rPr>
          <w:rFonts w:hint="eastAsia" w:ascii="仿宋_GB2312" w:hAnsi="仿宋" w:eastAsia="仿宋_GB2312" w:cs="___WRD_EMBED_SUB_39"/>
          <w:color w:val="333333"/>
          <w:sz w:val="32"/>
          <w:szCs w:val="32"/>
          <w:shd w:val="clear" w:color="auto" w:fill="FFFFFF"/>
        </w:rPr>
        <w:t>，并</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w:t>
      </w:r>
      <w:r>
        <w:rPr>
          <w:rFonts w:hint="eastAsia" w:ascii="仿宋_GB2312" w:hAnsi="仿宋" w:eastAsia="仿宋_GB2312" w:cs="宋体"/>
          <w:color w:val="333333"/>
          <w:sz w:val="32"/>
          <w:szCs w:val="32"/>
          <w:shd w:val="clear" w:color="auto" w:fill="FFFFFF"/>
        </w:rPr>
        <w:t>森林</w:t>
      </w:r>
      <w:r>
        <w:rPr>
          <w:rFonts w:hint="eastAsia" w:ascii="仿宋_GB2312" w:hAnsi="仿宋" w:eastAsia="仿宋_GB2312" w:cs="___WRD_EMBED_SUB_39"/>
          <w:color w:val="333333"/>
          <w:sz w:val="32"/>
          <w:szCs w:val="32"/>
          <w:shd w:val="clear" w:color="auto" w:fill="FFFFFF"/>
        </w:rPr>
        <w:t>资源和</w:t>
      </w:r>
      <w:r>
        <w:rPr>
          <w:rFonts w:hint="eastAsia" w:ascii="仿宋_GB2312" w:hAnsi="仿宋" w:eastAsia="仿宋_GB2312" w:cs="宋体"/>
          <w:color w:val="333333"/>
          <w:sz w:val="32"/>
          <w:szCs w:val="32"/>
          <w:shd w:val="clear" w:color="auto" w:fill="FFFFFF"/>
        </w:rPr>
        <w:t>林地</w:t>
      </w:r>
      <w:r>
        <w:rPr>
          <w:rFonts w:hint="eastAsia" w:ascii="仿宋_GB2312" w:hAnsi="仿宋" w:eastAsia="仿宋_GB2312" w:cs="___WRD_EMBED_SUB_39"/>
          <w:color w:val="333333"/>
          <w:sz w:val="32"/>
          <w:szCs w:val="32"/>
          <w:shd w:val="clear" w:color="auto" w:fill="FFFFFF"/>
        </w:rPr>
        <w:t>开发利用工作；</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责全</w:t>
      </w:r>
      <w:r>
        <w:rPr>
          <w:rFonts w:hint="eastAsia" w:ascii="仿宋_GB2312" w:hAnsi="仿宋" w:eastAsia="仿宋_GB2312" w:cs="宋体"/>
          <w:color w:val="333333"/>
          <w:sz w:val="32"/>
          <w:szCs w:val="32"/>
          <w:shd w:val="clear" w:color="auto" w:fill="FFFFFF"/>
        </w:rPr>
        <w:t>县陆</w:t>
      </w:r>
      <w:r>
        <w:rPr>
          <w:rFonts w:hint="eastAsia" w:ascii="仿宋_GB2312" w:hAnsi="仿宋" w:eastAsia="仿宋_GB2312" w:cs="___WRD_EMBED_SUB_39"/>
          <w:color w:val="333333"/>
          <w:sz w:val="32"/>
          <w:szCs w:val="32"/>
          <w:shd w:val="clear" w:color="auto" w:fill="FFFFFF"/>
        </w:rPr>
        <w:t>生</w:t>
      </w:r>
      <w:r>
        <w:rPr>
          <w:rFonts w:hint="eastAsia" w:ascii="仿宋_GB2312" w:hAnsi="仿宋" w:eastAsia="仿宋_GB2312" w:cs="宋体"/>
          <w:color w:val="333333"/>
          <w:sz w:val="32"/>
          <w:szCs w:val="32"/>
          <w:shd w:val="clear" w:color="auto" w:fill="FFFFFF"/>
        </w:rPr>
        <w:t>野</w:t>
      </w:r>
      <w:r>
        <w:rPr>
          <w:rFonts w:hint="eastAsia" w:ascii="仿宋_GB2312" w:hAnsi="仿宋" w:eastAsia="仿宋_GB2312" w:cs="___WRD_EMBED_SUB_39"/>
          <w:color w:val="333333"/>
          <w:sz w:val="32"/>
          <w:szCs w:val="32"/>
          <w:shd w:val="clear" w:color="auto" w:fill="FFFFFF"/>
        </w:rPr>
        <w:t>生动物、</w:t>
      </w:r>
      <w:r>
        <w:rPr>
          <w:rFonts w:hint="eastAsia" w:ascii="仿宋_GB2312" w:hAnsi="仿宋" w:eastAsia="仿宋_GB2312" w:cs="宋体"/>
          <w:color w:val="333333"/>
          <w:sz w:val="32"/>
          <w:szCs w:val="32"/>
          <w:shd w:val="clear" w:color="auto" w:fill="FFFFFF"/>
        </w:rPr>
        <w:t>植</w:t>
      </w:r>
      <w:r>
        <w:rPr>
          <w:rFonts w:hint="eastAsia" w:ascii="仿宋_GB2312" w:hAnsi="仿宋" w:eastAsia="仿宋_GB2312" w:cs="___WRD_EMBED_SUB_39"/>
          <w:color w:val="333333"/>
          <w:sz w:val="32"/>
          <w:szCs w:val="32"/>
          <w:shd w:val="clear" w:color="auto" w:fill="FFFFFF"/>
        </w:rPr>
        <w:t>物资源的保护和合理开发，以及</w:t>
      </w:r>
      <w:r>
        <w:rPr>
          <w:rFonts w:hint="eastAsia" w:ascii="仿宋_GB2312" w:hAnsi="仿宋" w:eastAsia="仿宋_GB2312" w:cs="宋体"/>
          <w:color w:val="333333"/>
          <w:sz w:val="32"/>
          <w:szCs w:val="32"/>
          <w:shd w:val="clear" w:color="auto" w:fill="FFFFFF"/>
        </w:rPr>
        <w:t>陆</w:t>
      </w:r>
      <w:r>
        <w:rPr>
          <w:rFonts w:hint="eastAsia" w:ascii="仿宋_GB2312" w:hAnsi="仿宋" w:eastAsia="仿宋_GB2312" w:cs="___WRD_EMBED_SUB_39"/>
          <w:color w:val="333333"/>
          <w:sz w:val="32"/>
          <w:szCs w:val="32"/>
          <w:shd w:val="clear" w:color="auto" w:fill="FFFFFF"/>
        </w:rPr>
        <w:t>生</w:t>
      </w:r>
      <w:r>
        <w:rPr>
          <w:rFonts w:hint="eastAsia" w:ascii="仿宋_GB2312" w:hAnsi="仿宋" w:eastAsia="仿宋_GB2312" w:cs="宋体"/>
          <w:color w:val="333333"/>
          <w:sz w:val="32"/>
          <w:szCs w:val="32"/>
          <w:shd w:val="clear" w:color="auto" w:fill="FFFFFF"/>
        </w:rPr>
        <w:t>野</w:t>
      </w:r>
      <w:r>
        <w:rPr>
          <w:rFonts w:hint="eastAsia" w:ascii="仿宋_GB2312" w:hAnsi="仿宋" w:eastAsia="仿宋_GB2312" w:cs="___WRD_EMBED_SUB_39"/>
          <w:color w:val="333333"/>
          <w:sz w:val="32"/>
          <w:szCs w:val="32"/>
          <w:shd w:val="clear" w:color="auto" w:fill="FFFFFF"/>
        </w:rPr>
        <w:t>生动物、</w:t>
      </w:r>
      <w:r>
        <w:rPr>
          <w:rFonts w:hint="eastAsia" w:ascii="仿宋_GB2312" w:hAnsi="仿宋" w:eastAsia="仿宋_GB2312" w:cs="宋体"/>
          <w:color w:val="333333"/>
          <w:sz w:val="32"/>
          <w:szCs w:val="32"/>
          <w:shd w:val="clear" w:color="auto" w:fill="FFFFFF"/>
        </w:rPr>
        <w:t>植</w:t>
      </w:r>
      <w:r>
        <w:rPr>
          <w:rFonts w:hint="eastAsia" w:ascii="仿宋_GB2312" w:hAnsi="仿宋" w:eastAsia="仿宋_GB2312" w:cs="___WRD_EMBED_SUB_39"/>
          <w:color w:val="333333"/>
          <w:sz w:val="32"/>
          <w:szCs w:val="32"/>
          <w:shd w:val="clear" w:color="auto" w:fill="FFFFFF"/>
        </w:rPr>
        <w:t>物保护中</w:t>
      </w:r>
      <w:r>
        <w:rPr>
          <w:rFonts w:hint="eastAsia" w:ascii="仿宋_GB2312" w:hAnsi="仿宋" w:eastAsia="仿宋_GB2312" w:cs="宋体"/>
          <w:color w:val="333333"/>
          <w:sz w:val="32"/>
          <w:szCs w:val="32"/>
          <w:shd w:val="clear" w:color="auto" w:fill="FFFFFF"/>
        </w:rPr>
        <w:t>心</w:t>
      </w:r>
      <w:r>
        <w:rPr>
          <w:rFonts w:hint="eastAsia" w:ascii="仿宋_GB2312" w:hAnsi="仿宋" w:eastAsia="仿宋_GB2312" w:cs="___WRD_EMBED_SUB_39"/>
          <w:color w:val="333333"/>
          <w:sz w:val="32"/>
          <w:szCs w:val="32"/>
          <w:shd w:val="clear" w:color="auto" w:fill="FFFFFF"/>
        </w:rPr>
        <w:t>的建设和管理；组织</w:t>
      </w:r>
      <w:r>
        <w:rPr>
          <w:rFonts w:hint="eastAsia" w:ascii="仿宋_GB2312" w:hAnsi="仿宋" w:eastAsia="仿宋_GB2312" w:cs="宋体"/>
          <w:color w:val="333333"/>
          <w:sz w:val="32"/>
          <w:szCs w:val="32"/>
          <w:shd w:val="clear" w:color="auto" w:fill="FFFFFF"/>
        </w:rPr>
        <w:t>协调</w:t>
      </w:r>
      <w:r>
        <w:rPr>
          <w:rFonts w:hint="eastAsia" w:ascii="仿宋_GB2312" w:hAnsi="仿宋" w:eastAsia="仿宋_GB2312" w:cs="___WRD_EMBED_SUB_39"/>
          <w:color w:val="333333"/>
          <w:sz w:val="32"/>
          <w:szCs w:val="32"/>
          <w:shd w:val="clear" w:color="auto" w:fill="FFFFFF"/>
        </w:rPr>
        <w:t>、指导</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督全</w:t>
      </w:r>
      <w:r>
        <w:rPr>
          <w:rFonts w:hint="eastAsia" w:ascii="仿宋_GB2312" w:hAnsi="仿宋" w:eastAsia="仿宋_GB2312" w:cs="宋体"/>
          <w:color w:val="333333"/>
          <w:sz w:val="32"/>
          <w:szCs w:val="32"/>
          <w:shd w:val="clear" w:color="auto" w:fill="FFFFFF"/>
        </w:rPr>
        <w:t>县森林防火</w:t>
      </w:r>
      <w:r>
        <w:rPr>
          <w:rFonts w:hint="eastAsia" w:ascii="仿宋_GB2312" w:hAnsi="仿宋" w:eastAsia="仿宋_GB2312" w:cs="___WRD_EMBED_SUB_39"/>
          <w:color w:val="333333"/>
          <w:sz w:val="32"/>
          <w:szCs w:val="32"/>
          <w:shd w:val="clear" w:color="auto" w:fill="FFFFFF"/>
        </w:rPr>
        <w:t>；指导全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业公安工作和</w:t>
      </w:r>
      <w:r>
        <w:rPr>
          <w:rFonts w:hint="eastAsia" w:ascii="仿宋_GB2312" w:hAnsi="仿宋" w:eastAsia="仿宋_GB2312" w:cs="宋体"/>
          <w:color w:val="333333"/>
          <w:sz w:val="32"/>
          <w:szCs w:val="32"/>
          <w:shd w:val="clear" w:color="auto" w:fill="FFFFFF"/>
        </w:rPr>
        <w:t>林</w:t>
      </w:r>
      <w:r>
        <w:rPr>
          <w:rFonts w:hint="eastAsia" w:ascii="仿宋_GB2312" w:hAnsi="仿宋" w:eastAsia="仿宋_GB2312" w:cs="___WRD_EMBED_SUB_39"/>
          <w:color w:val="333333"/>
          <w:sz w:val="32"/>
          <w:szCs w:val="32"/>
          <w:shd w:val="clear" w:color="auto" w:fill="FFFFFF"/>
        </w:rPr>
        <w:t>业公安</w:t>
      </w:r>
      <w:r>
        <w:rPr>
          <w:rFonts w:hint="eastAsia" w:ascii="仿宋_GB2312" w:hAnsi="仿宋" w:eastAsia="仿宋_GB2312" w:cs="宋体"/>
          <w:color w:val="333333"/>
          <w:sz w:val="32"/>
          <w:szCs w:val="32"/>
          <w:shd w:val="clear" w:color="auto" w:fill="FFFFFF"/>
        </w:rPr>
        <w:t>队伍</w:t>
      </w:r>
      <w:r>
        <w:rPr>
          <w:rFonts w:hint="eastAsia" w:ascii="仿宋_GB2312" w:hAnsi="仿宋" w:eastAsia="仿宋_GB2312" w:cs="___WRD_EMBED_SUB_39"/>
          <w:color w:val="333333"/>
          <w:sz w:val="32"/>
          <w:szCs w:val="32"/>
          <w:shd w:val="clear" w:color="auto" w:fill="FFFFFF"/>
        </w:rPr>
        <w:t>建设；</w:t>
      </w:r>
      <w:r>
        <w:rPr>
          <w:rFonts w:hint="eastAsia" w:ascii="仿宋_GB2312" w:hAnsi="仿宋" w:eastAsia="仿宋_GB2312" w:cs="仿宋_GB2312"/>
          <w:color w:val="333333"/>
          <w:sz w:val="32"/>
          <w:szCs w:val="32"/>
          <w:shd w:val="clear" w:color="auto" w:fill="FFFFFF"/>
        </w:rPr>
        <w:t>指导、</w:t>
      </w:r>
      <w:r>
        <w:rPr>
          <w:rFonts w:hint="eastAsia" w:ascii="仿宋_GB2312" w:hAnsi="仿宋" w:eastAsia="仿宋_GB2312" w:cs="宋体"/>
          <w:color w:val="333333"/>
          <w:sz w:val="32"/>
          <w:szCs w:val="32"/>
          <w:shd w:val="clear" w:color="auto" w:fill="FFFFFF"/>
        </w:rPr>
        <w:t>协调</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监</w:t>
      </w:r>
      <w:r>
        <w:rPr>
          <w:rFonts w:hint="eastAsia" w:ascii="仿宋_GB2312" w:hAnsi="仿宋" w:eastAsia="仿宋_GB2312" w:cs="___WRD_EMBED_SUB_39"/>
          <w:color w:val="333333"/>
          <w:sz w:val="32"/>
          <w:szCs w:val="32"/>
          <w:shd w:val="clear" w:color="auto" w:fill="FFFFFF"/>
        </w:rPr>
        <w:t>督、</w:t>
      </w:r>
      <w:r>
        <w:rPr>
          <w:rFonts w:hint="eastAsia" w:ascii="仿宋_GB2312" w:hAnsi="仿宋" w:eastAsia="仿宋_GB2312" w:cs="宋体"/>
          <w:color w:val="333333"/>
          <w:sz w:val="32"/>
          <w:szCs w:val="32"/>
          <w:shd w:val="clear" w:color="auto" w:fill="FFFFFF"/>
        </w:rPr>
        <w:t>查处破坏林</w:t>
      </w:r>
      <w:r>
        <w:rPr>
          <w:rFonts w:hint="eastAsia" w:ascii="仿宋_GB2312" w:hAnsi="仿宋" w:eastAsia="仿宋_GB2312" w:cs="___WRD_EMBED_SUB_39"/>
          <w:color w:val="333333"/>
          <w:sz w:val="32"/>
          <w:szCs w:val="32"/>
          <w:shd w:val="clear" w:color="auto" w:fill="FFFFFF"/>
        </w:rPr>
        <w:t>业资源和</w:t>
      </w:r>
      <w:r>
        <w:rPr>
          <w:rFonts w:hint="eastAsia" w:ascii="仿宋_GB2312" w:hAnsi="仿宋" w:eastAsia="仿宋_GB2312" w:cs="宋体"/>
          <w:color w:val="333333"/>
          <w:sz w:val="32"/>
          <w:szCs w:val="32"/>
          <w:shd w:val="clear" w:color="auto" w:fill="FFFFFF"/>
        </w:rPr>
        <w:t>野</w:t>
      </w:r>
      <w:r>
        <w:rPr>
          <w:rFonts w:hint="eastAsia" w:ascii="仿宋_GB2312" w:hAnsi="仿宋" w:eastAsia="仿宋_GB2312" w:cs="___WRD_EMBED_SUB_39"/>
          <w:color w:val="333333"/>
          <w:sz w:val="32"/>
          <w:szCs w:val="32"/>
          <w:shd w:val="clear" w:color="auto" w:fill="FFFFFF"/>
        </w:rPr>
        <w:t>生动</w:t>
      </w:r>
      <w:r>
        <w:rPr>
          <w:rFonts w:hint="eastAsia" w:ascii="仿宋_GB2312" w:hAnsi="仿宋" w:eastAsia="仿宋_GB2312" w:cs="宋体"/>
          <w:color w:val="333333"/>
          <w:sz w:val="32"/>
          <w:szCs w:val="32"/>
          <w:shd w:val="clear" w:color="auto" w:fill="FFFFFF"/>
        </w:rPr>
        <w:t>植</w:t>
      </w:r>
      <w:r>
        <w:rPr>
          <w:rFonts w:hint="eastAsia" w:ascii="仿宋_GB2312" w:hAnsi="仿宋" w:eastAsia="仿宋_GB2312" w:cs="___WRD_EMBED_SUB_39"/>
          <w:color w:val="333333"/>
          <w:sz w:val="32"/>
          <w:szCs w:val="32"/>
          <w:shd w:val="clear" w:color="auto" w:fill="FFFFFF"/>
        </w:rPr>
        <w:t>物资源的重大案件；管理全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果</w:t>
      </w:r>
      <w:r>
        <w:rPr>
          <w:rFonts w:hint="eastAsia" w:ascii="仿宋_GB2312" w:hAnsi="仿宋" w:eastAsia="仿宋_GB2312" w:cs="宋体"/>
          <w:color w:val="333333"/>
          <w:sz w:val="32"/>
          <w:szCs w:val="32"/>
          <w:shd w:val="clear" w:color="auto" w:fill="FFFFFF"/>
        </w:rPr>
        <w:t>花</w:t>
      </w:r>
      <w:r>
        <w:rPr>
          <w:rFonts w:hint="eastAsia" w:ascii="仿宋_GB2312" w:hAnsi="仿宋" w:eastAsia="仿宋_GB2312" w:cs="___WRD_EMBED_SUB_39"/>
          <w:color w:val="333333"/>
          <w:sz w:val="32"/>
          <w:szCs w:val="32"/>
          <w:shd w:val="clear" w:color="auto" w:fill="FFFFFF"/>
        </w:rPr>
        <w:t>等种质资源的</w:t>
      </w:r>
      <w:r>
        <w:rPr>
          <w:rFonts w:hint="eastAsia" w:ascii="仿宋_GB2312" w:hAnsi="仿宋" w:eastAsia="仿宋_GB2312" w:cs="宋体"/>
          <w:color w:val="333333"/>
          <w:sz w:val="32"/>
          <w:szCs w:val="32"/>
          <w:shd w:val="clear" w:color="auto" w:fill="FFFFFF"/>
        </w:rPr>
        <w:t>引</w:t>
      </w:r>
      <w:r>
        <w:rPr>
          <w:rFonts w:hint="eastAsia" w:ascii="仿宋_GB2312" w:hAnsi="仿宋" w:eastAsia="仿宋_GB2312" w:cs="___WRD_EMBED_SUB_39"/>
          <w:color w:val="333333"/>
          <w:sz w:val="32"/>
          <w:szCs w:val="32"/>
          <w:shd w:val="clear" w:color="auto" w:fill="FFFFFF"/>
        </w:rPr>
        <w:t>进、</w:t>
      </w:r>
      <w:r>
        <w:rPr>
          <w:rFonts w:hint="eastAsia" w:ascii="仿宋_GB2312" w:hAnsi="仿宋" w:eastAsia="仿宋_GB2312" w:cs="宋体"/>
          <w:color w:val="333333"/>
          <w:sz w:val="32"/>
          <w:szCs w:val="32"/>
          <w:shd w:val="clear" w:color="auto" w:fill="FFFFFF"/>
        </w:rPr>
        <w:t>选</w:t>
      </w:r>
      <w:r>
        <w:rPr>
          <w:rFonts w:hint="eastAsia" w:ascii="仿宋_GB2312" w:hAnsi="仿宋" w:eastAsia="仿宋_GB2312" w:cs="___WRD_EMBED_SUB_39"/>
          <w:color w:val="333333"/>
          <w:sz w:val="32"/>
          <w:szCs w:val="32"/>
          <w:shd w:val="clear" w:color="auto" w:fill="FFFFFF"/>
        </w:rPr>
        <w:t>育、保护和开发利用工作；</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果</w:t>
      </w:r>
      <w:r>
        <w:rPr>
          <w:rFonts w:hint="eastAsia" w:ascii="仿宋_GB2312" w:hAnsi="仿宋" w:eastAsia="仿宋_GB2312" w:cs="宋体"/>
          <w:color w:val="333333"/>
          <w:sz w:val="32"/>
          <w:szCs w:val="32"/>
          <w:shd w:val="clear" w:color="auto" w:fill="FFFFFF"/>
        </w:rPr>
        <w:t>花病虫害</w:t>
      </w:r>
      <w:r>
        <w:rPr>
          <w:rFonts w:hint="eastAsia" w:ascii="仿宋_GB2312" w:hAnsi="仿宋" w:eastAsia="仿宋_GB2312" w:cs="___WRD_EMBED_SUB_39"/>
          <w:color w:val="333333"/>
          <w:sz w:val="32"/>
          <w:szCs w:val="32"/>
          <w:shd w:val="clear" w:color="auto" w:fill="FFFFFF"/>
        </w:rPr>
        <w:t>的</w:t>
      </w:r>
      <w:r>
        <w:rPr>
          <w:rFonts w:hint="eastAsia" w:ascii="仿宋_GB2312" w:hAnsi="仿宋" w:eastAsia="仿宋_GB2312" w:cs="宋体"/>
          <w:color w:val="333333"/>
          <w:sz w:val="32"/>
          <w:szCs w:val="32"/>
          <w:shd w:val="clear" w:color="auto" w:fill="FFFFFF"/>
        </w:rPr>
        <w:t>防治</w:t>
      </w:r>
      <w:r>
        <w:rPr>
          <w:rFonts w:hint="eastAsia" w:ascii="仿宋_GB2312" w:hAnsi="仿宋" w:eastAsia="仿宋_GB2312" w:cs="___WRD_EMBED_SUB_39"/>
          <w:color w:val="333333"/>
          <w:sz w:val="32"/>
          <w:szCs w:val="32"/>
          <w:shd w:val="clear" w:color="auto" w:fill="FFFFFF"/>
        </w:rPr>
        <w:t>、</w:t>
      </w:r>
      <w:r>
        <w:rPr>
          <w:rFonts w:hint="eastAsia" w:ascii="仿宋_GB2312" w:hAnsi="仿宋" w:eastAsia="仿宋_GB2312" w:cs="宋体"/>
          <w:color w:val="333333"/>
          <w:sz w:val="32"/>
          <w:szCs w:val="32"/>
          <w:shd w:val="clear" w:color="auto" w:fill="FFFFFF"/>
        </w:rPr>
        <w:t>检疫</w:t>
      </w:r>
      <w:r>
        <w:rPr>
          <w:rFonts w:hint="eastAsia" w:ascii="仿宋_GB2312" w:hAnsi="仿宋" w:eastAsia="仿宋_GB2312" w:cs="___WRD_EMBED_SUB_39"/>
          <w:color w:val="333333"/>
          <w:sz w:val="32"/>
          <w:szCs w:val="32"/>
          <w:shd w:val="clear" w:color="auto" w:fill="FFFFFF"/>
        </w:rPr>
        <w:t>工作；指导全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产工业和</w:t>
      </w:r>
      <w:r>
        <w:rPr>
          <w:rFonts w:hint="eastAsia" w:ascii="仿宋_GB2312" w:hAnsi="仿宋" w:eastAsia="仿宋_GB2312" w:cs="宋体"/>
          <w:color w:val="333333"/>
          <w:sz w:val="32"/>
          <w:szCs w:val="32"/>
          <w:shd w:val="clear" w:color="auto" w:fill="FFFFFF"/>
        </w:rPr>
        <w:t>林</w:t>
      </w:r>
      <w:r>
        <w:rPr>
          <w:rFonts w:hint="eastAsia" w:ascii="仿宋_GB2312" w:hAnsi="仿宋" w:eastAsia="仿宋_GB2312" w:cs="___WRD_EMBED_SUB_39"/>
          <w:color w:val="333333"/>
          <w:sz w:val="32"/>
          <w:szCs w:val="32"/>
          <w:shd w:val="clear" w:color="auto" w:fill="FFFFFF"/>
        </w:rPr>
        <w:t>业</w:t>
      </w:r>
      <w:r>
        <w:rPr>
          <w:rFonts w:hint="eastAsia" w:ascii="仿宋_GB2312" w:hAnsi="仿宋" w:eastAsia="仿宋_GB2312" w:cs="宋体"/>
          <w:color w:val="333333"/>
          <w:sz w:val="32"/>
          <w:szCs w:val="32"/>
          <w:shd w:val="clear" w:color="auto" w:fill="FFFFFF"/>
        </w:rPr>
        <w:t>系</w:t>
      </w:r>
      <w:r>
        <w:rPr>
          <w:rFonts w:hint="eastAsia" w:ascii="仿宋_GB2312" w:hAnsi="仿宋" w:eastAsia="仿宋_GB2312" w:cs="___WRD_EMBED_SUB_39"/>
          <w:color w:val="333333"/>
          <w:sz w:val="32"/>
          <w:szCs w:val="32"/>
          <w:shd w:val="clear" w:color="auto" w:fill="FFFFFF"/>
        </w:rPr>
        <w:t>统</w:t>
      </w:r>
      <w:r>
        <w:rPr>
          <w:rFonts w:hint="eastAsia" w:ascii="仿宋_GB2312" w:hAnsi="仿宋" w:eastAsia="仿宋_GB2312" w:cs="宋体"/>
          <w:color w:val="333333"/>
          <w:sz w:val="32"/>
          <w:szCs w:val="32"/>
          <w:shd w:val="clear" w:color="auto" w:fill="FFFFFF"/>
        </w:rPr>
        <w:t>多</w:t>
      </w:r>
      <w:r>
        <w:rPr>
          <w:rFonts w:hint="eastAsia" w:ascii="仿宋_GB2312" w:hAnsi="仿宋" w:eastAsia="仿宋_GB2312" w:cs="___WRD_EMBED_SUB_39"/>
          <w:color w:val="333333"/>
          <w:sz w:val="32"/>
          <w:szCs w:val="32"/>
          <w:shd w:val="clear" w:color="auto" w:fill="FFFFFF"/>
        </w:rPr>
        <w:t>种经营工作，</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责各类商品</w:t>
      </w:r>
      <w:r>
        <w:rPr>
          <w:rFonts w:hint="eastAsia" w:ascii="仿宋_GB2312" w:hAnsi="仿宋" w:eastAsia="仿宋_GB2312" w:cs="宋体"/>
          <w:color w:val="333333"/>
          <w:sz w:val="32"/>
          <w:szCs w:val="32"/>
          <w:shd w:val="clear" w:color="auto" w:fill="FFFFFF"/>
        </w:rPr>
        <w:t>林</w:t>
      </w:r>
      <w:r>
        <w:rPr>
          <w:rFonts w:hint="eastAsia" w:ascii="仿宋_GB2312" w:hAnsi="仿宋" w:eastAsia="仿宋_GB2312" w:cs="___WRD_EMBED_SUB_39"/>
          <w:color w:val="333333"/>
          <w:sz w:val="32"/>
          <w:szCs w:val="32"/>
          <w:shd w:val="clear" w:color="auto" w:fill="FFFFFF"/>
        </w:rPr>
        <w:t>和</w:t>
      </w:r>
      <w:r>
        <w:rPr>
          <w:rFonts w:hint="eastAsia" w:ascii="仿宋_GB2312" w:hAnsi="仿宋" w:eastAsia="仿宋_GB2312" w:cs="宋体"/>
          <w:color w:val="333333"/>
          <w:sz w:val="32"/>
          <w:szCs w:val="32"/>
          <w:shd w:val="clear" w:color="auto" w:fill="FFFFFF"/>
        </w:rPr>
        <w:t>风景林</w:t>
      </w:r>
      <w:r>
        <w:rPr>
          <w:rFonts w:hint="eastAsia" w:ascii="仿宋_GB2312" w:hAnsi="仿宋" w:eastAsia="仿宋_GB2312" w:cs="___WRD_EMBED_SUB_39"/>
          <w:color w:val="333333"/>
          <w:sz w:val="32"/>
          <w:szCs w:val="32"/>
          <w:shd w:val="clear" w:color="auto" w:fill="FFFFFF"/>
        </w:rPr>
        <w:t>的培育和管理工作；</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业科技、教育、</w:t>
      </w:r>
      <w:r>
        <w:rPr>
          <w:rFonts w:hint="eastAsia" w:ascii="仿宋_GB2312" w:hAnsi="仿宋" w:eastAsia="仿宋_GB2312" w:cs="宋体"/>
          <w:color w:val="333333"/>
          <w:sz w:val="32"/>
          <w:szCs w:val="32"/>
          <w:shd w:val="clear" w:color="auto" w:fill="FFFFFF"/>
        </w:rPr>
        <w:t>宣传</w:t>
      </w:r>
      <w:r>
        <w:rPr>
          <w:rFonts w:hint="eastAsia" w:ascii="仿宋_GB2312" w:hAnsi="仿宋" w:eastAsia="仿宋_GB2312" w:cs="___WRD_EMBED_SUB_39"/>
          <w:color w:val="333333"/>
          <w:sz w:val="32"/>
          <w:szCs w:val="32"/>
          <w:shd w:val="clear" w:color="auto" w:fill="FFFFFF"/>
        </w:rPr>
        <w:t>和国际合作工作；指导全</w:t>
      </w:r>
      <w:r>
        <w:rPr>
          <w:rFonts w:hint="eastAsia" w:ascii="仿宋_GB2312" w:hAnsi="仿宋" w:eastAsia="仿宋_GB2312" w:cs="宋体"/>
          <w:color w:val="333333"/>
          <w:sz w:val="32"/>
          <w:szCs w:val="32"/>
          <w:shd w:val="clear" w:color="auto" w:fill="FFFFFF"/>
        </w:rPr>
        <w:t>县林</w:t>
      </w:r>
      <w:r>
        <w:rPr>
          <w:rFonts w:hint="eastAsia" w:ascii="仿宋_GB2312" w:hAnsi="仿宋" w:eastAsia="仿宋_GB2312" w:cs="___WRD_EMBED_SUB_39"/>
          <w:color w:val="333333"/>
          <w:sz w:val="32"/>
          <w:szCs w:val="32"/>
          <w:shd w:val="clear" w:color="auto" w:fill="FFFFFF"/>
        </w:rPr>
        <w:t>业</w:t>
      </w:r>
      <w:r>
        <w:rPr>
          <w:rFonts w:hint="eastAsia" w:ascii="仿宋_GB2312" w:hAnsi="仿宋" w:eastAsia="仿宋_GB2312" w:cs="宋体"/>
          <w:color w:val="333333"/>
          <w:sz w:val="32"/>
          <w:szCs w:val="32"/>
          <w:shd w:val="clear" w:color="auto" w:fill="FFFFFF"/>
        </w:rPr>
        <w:t>队伍</w:t>
      </w:r>
      <w:r>
        <w:rPr>
          <w:rFonts w:hint="eastAsia" w:ascii="仿宋_GB2312" w:hAnsi="仿宋" w:eastAsia="仿宋_GB2312" w:cs="___WRD_EMBED_SUB_39"/>
          <w:color w:val="333333"/>
          <w:sz w:val="32"/>
          <w:szCs w:val="32"/>
          <w:shd w:val="clear" w:color="auto" w:fill="FFFFFF"/>
        </w:rPr>
        <w:t>建设；</w:t>
      </w:r>
      <w:r>
        <w:rPr>
          <w:rFonts w:hint="eastAsia" w:ascii="仿宋_GB2312" w:hAnsi="仿宋" w:eastAsia="仿宋_GB2312" w:cs="宋体"/>
          <w:color w:val="333333"/>
          <w:sz w:val="32"/>
          <w:szCs w:val="32"/>
          <w:shd w:val="clear" w:color="auto" w:fill="FFFFFF"/>
        </w:rPr>
        <w:t>负</w:t>
      </w:r>
      <w:r>
        <w:rPr>
          <w:rFonts w:hint="eastAsia" w:ascii="仿宋_GB2312" w:hAnsi="仿宋" w:eastAsia="仿宋_GB2312" w:cs="___WRD_EMBED_SUB_39"/>
          <w:color w:val="333333"/>
          <w:sz w:val="32"/>
          <w:szCs w:val="32"/>
          <w:shd w:val="clear" w:color="auto" w:fill="FFFFFF"/>
        </w:rPr>
        <w:t>责</w:t>
      </w:r>
      <w:r>
        <w:rPr>
          <w:rFonts w:hint="eastAsia" w:ascii="仿宋_GB2312" w:hAnsi="仿宋" w:eastAsia="仿宋_GB2312" w:cs="宋体"/>
          <w:color w:val="333333"/>
          <w:sz w:val="32"/>
          <w:szCs w:val="32"/>
          <w:shd w:val="clear" w:color="auto" w:fill="FFFFFF"/>
        </w:rPr>
        <w:t>县</w:t>
      </w:r>
      <w:r>
        <w:rPr>
          <w:rFonts w:hint="eastAsia" w:ascii="仿宋_GB2312" w:hAnsi="仿宋" w:eastAsia="仿宋_GB2312" w:cs="___WRD_EMBED_SUB_39"/>
          <w:color w:val="333333"/>
          <w:sz w:val="32"/>
          <w:szCs w:val="32"/>
          <w:shd w:val="clear" w:color="auto" w:fill="FFFFFF"/>
        </w:rPr>
        <w:t>城</w:t>
      </w:r>
      <w:r>
        <w:rPr>
          <w:rFonts w:hint="eastAsia" w:ascii="仿宋_GB2312" w:hAnsi="仿宋" w:eastAsia="仿宋_GB2312" w:cs="宋体"/>
          <w:color w:val="333333"/>
          <w:sz w:val="32"/>
          <w:szCs w:val="32"/>
          <w:shd w:val="clear" w:color="auto" w:fill="FFFFFF"/>
        </w:rPr>
        <w:t>绿</w:t>
      </w:r>
      <w:r>
        <w:rPr>
          <w:rFonts w:hint="eastAsia" w:ascii="仿宋_GB2312" w:hAnsi="仿宋" w:eastAsia="仿宋_GB2312" w:cs="___WRD_EMBED_SUB_39"/>
          <w:color w:val="333333"/>
          <w:sz w:val="32"/>
          <w:szCs w:val="32"/>
          <w:shd w:val="clear" w:color="auto" w:fill="FFFFFF"/>
        </w:rPr>
        <w:t>化、</w:t>
      </w:r>
      <w:r>
        <w:rPr>
          <w:rFonts w:hint="eastAsia" w:ascii="仿宋_GB2312" w:hAnsi="仿宋" w:eastAsia="仿宋_GB2312" w:cs="宋体"/>
          <w:color w:val="333333"/>
          <w:sz w:val="32"/>
          <w:szCs w:val="32"/>
          <w:shd w:val="clear" w:color="auto" w:fill="FFFFFF"/>
        </w:rPr>
        <w:t>美</w:t>
      </w:r>
      <w:r>
        <w:rPr>
          <w:rFonts w:hint="eastAsia" w:ascii="仿宋_GB2312" w:hAnsi="仿宋" w:eastAsia="仿宋_GB2312" w:cs="___WRD_EMBED_SUB_39"/>
          <w:color w:val="333333"/>
          <w:sz w:val="32"/>
          <w:szCs w:val="32"/>
          <w:shd w:val="clear" w:color="auto" w:fill="FFFFFF"/>
        </w:rPr>
        <w:t>化工作的规</w:t>
      </w:r>
      <w:r>
        <w:rPr>
          <w:rFonts w:hint="eastAsia" w:ascii="仿宋_GB2312" w:hAnsi="仿宋" w:eastAsia="仿宋_GB2312" w:cs="宋体"/>
          <w:color w:val="333333"/>
          <w:sz w:val="32"/>
          <w:szCs w:val="32"/>
          <w:shd w:val="clear" w:color="auto" w:fill="FFFFFF"/>
        </w:rPr>
        <w:t>划</w:t>
      </w:r>
      <w:r>
        <w:rPr>
          <w:rFonts w:hint="eastAsia" w:ascii="仿宋_GB2312" w:hAnsi="仿宋" w:eastAsia="仿宋_GB2312" w:cs="___WRD_EMBED_SUB_39"/>
          <w:color w:val="333333"/>
          <w:sz w:val="32"/>
          <w:szCs w:val="32"/>
          <w:shd w:val="clear" w:color="auto" w:fill="FFFFFF"/>
        </w:rPr>
        <w:t>设计，</w:t>
      </w:r>
      <w:r>
        <w:rPr>
          <w:rFonts w:hint="eastAsia" w:ascii="仿宋_GB2312" w:hAnsi="仿宋" w:eastAsia="仿宋_GB2312" w:cs="宋体"/>
          <w:color w:val="333333"/>
          <w:sz w:val="32"/>
          <w:szCs w:val="32"/>
          <w:shd w:val="clear" w:color="auto" w:fill="FFFFFF"/>
        </w:rPr>
        <w:t>花木绿地</w:t>
      </w:r>
      <w:r>
        <w:rPr>
          <w:rFonts w:hint="eastAsia" w:ascii="仿宋_GB2312" w:hAnsi="仿宋" w:eastAsia="仿宋_GB2312" w:cs="___WRD_EMBED_SUB_39"/>
          <w:color w:val="333333"/>
          <w:sz w:val="32"/>
          <w:szCs w:val="32"/>
          <w:shd w:val="clear" w:color="auto" w:fill="FFFFFF"/>
        </w:rPr>
        <w:t>的管护、管理，</w:t>
      </w:r>
      <w:r>
        <w:rPr>
          <w:rFonts w:hint="eastAsia" w:ascii="仿宋_GB2312" w:hAnsi="仿宋" w:eastAsia="仿宋_GB2312" w:cs="宋体"/>
          <w:color w:val="333333"/>
          <w:sz w:val="32"/>
          <w:szCs w:val="32"/>
          <w:shd w:val="clear" w:color="auto" w:fill="FFFFFF"/>
        </w:rPr>
        <w:t>征</w:t>
      </w:r>
      <w:r>
        <w:rPr>
          <w:rFonts w:hint="eastAsia" w:ascii="仿宋_GB2312" w:hAnsi="仿宋" w:eastAsia="仿宋_GB2312" w:cs="___WRD_EMBED_SUB_39"/>
          <w:color w:val="333333"/>
          <w:sz w:val="32"/>
          <w:szCs w:val="32"/>
          <w:shd w:val="clear" w:color="auto" w:fill="FFFFFF"/>
        </w:rPr>
        <w:t>用、占用</w:t>
      </w:r>
      <w:r>
        <w:rPr>
          <w:rFonts w:hint="eastAsia" w:ascii="仿宋_GB2312" w:hAnsi="仿宋" w:eastAsia="仿宋_GB2312" w:cs="宋体"/>
          <w:color w:val="333333"/>
          <w:sz w:val="32"/>
          <w:szCs w:val="32"/>
          <w:shd w:val="clear" w:color="auto" w:fill="FFFFFF"/>
        </w:rPr>
        <w:t>绿地</w:t>
      </w:r>
      <w:r>
        <w:rPr>
          <w:rFonts w:hint="eastAsia" w:ascii="仿宋_GB2312" w:hAnsi="仿宋" w:eastAsia="仿宋_GB2312" w:cs="___WRD_EMBED_SUB_39"/>
          <w:color w:val="333333"/>
          <w:sz w:val="32"/>
          <w:szCs w:val="32"/>
          <w:shd w:val="clear" w:color="auto" w:fill="FFFFFF"/>
        </w:rPr>
        <w:t>的</w:t>
      </w:r>
      <w:r>
        <w:rPr>
          <w:rFonts w:hint="eastAsia" w:ascii="仿宋_GB2312" w:hAnsi="仿宋" w:eastAsia="仿宋_GB2312" w:cs="宋体"/>
          <w:color w:val="333333"/>
          <w:sz w:val="32"/>
          <w:szCs w:val="32"/>
          <w:shd w:val="clear" w:color="auto" w:fill="FFFFFF"/>
        </w:rPr>
        <w:t>审</w:t>
      </w:r>
      <w:r>
        <w:rPr>
          <w:rFonts w:hint="eastAsia" w:ascii="仿宋_GB2312" w:hAnsi="仿宋" w:eastAsia="仿宋_GB2312" w:cs="___WRD_EMBED_SUB_39"/>
          <w:color w:val="333333"/>
          <w:sz w:val="32"/>
          <w:szCs w:val="32"/>
          <w:shd w:val="clear" w:color="auto" w:fill="FFFFFF"/>
        </w:rPr>
        <w:t>批工作；</w:t>
      </w:r>
      <w:r>
        <w:rPr>
          <w:rFonts w:hint="eastAsia" w:ascii="仿宋_GB2312" w:hAnsi="仿宋" w:eastAsia="仿宋_GB2312" w:cs="宋体"/>
          <w:color w:val="333333"/>
          <w:sz w:val="32"/>
          <w:szCs w:val="32"/>
          <w:shd w:val="clear" w:color="auto" w:fill="FFFFFF"/>
        </w:rPr>
        <w:t>承</w:t>
      </w:r>
      <w:r>
        <w:rPr>
          <w:rFonts w:hint="eastAsia" w:ascii="仿宋_GB2312" w:hAnsi="仿宋" w:eastAsia="仿宋_GB2312" w:cs="___WRD_EMBED_SUB_39"/>
          <w:color w:val="333333"/>
          <w:sz w:val="32"/>
          <w:szCs w:val="32"/>
          <w:shd w:val="clear" w:color="auto" w:fill="FFFFFF"/>
        </w:rPr>
        <w:t>办</w:t>
      </w:r>
      <w:r>
        <w:rPr>
          <w:rFonts w:hint="eastAsia" w:ascii="仿宋_GB2312" w:hAnsi="仿宋" w:eastAsia="仿宋_GB2312" w:cs="宋体"/>
          <w:color w:val="333333"/>
          <w:sz w:val="32"/>
          <w:szCs w:val="32"/>
          <w:shd w:val="clear" w:color="auto" w:fill="FFFFFF"/>
        </w:rPr>
        <w:t>县</w:t>
      </w:r>
      <w:r>
        <w:rPr>
          <w:rFonts w:hint="eastAsia" w:ascii="仿宋_GB2312" w:hAnsi="仿宋" w:eastAsia="仿宋_GB2312" w:cs="___WRD_EMBED_SUB_39"/>
          <w:color w:val="333333"/>
          <w:sz w:val="32"/>
          <w:szCs w:val="32"/>
          <w:shd w:val="clear" w:color="auto" w:fill="FFFFFF"/>
        </w:rPr>
        <w:t>政府交办的其</w:t>
      </w:r>
      <w:r>
        <w:rPr>
          <w:rFonts w:hint="eastAsia" w:ascii="仿宋_GB2312" w:hAnsi="仿宋" w:eastAsia="仿宋_GB2312" w:cs="宋体"/>
          <w:color w:val="333333"/>
          <w:sz w:val="32"/>
          <w:szCs w:val="32"/>
          <w:shd w:val="clear" w:color="auto" w:fill="FFFFFF"/>
        </w:rPr>
        <w:t>它</w:t>
      </w:r>
      <w:r>
        <w:rPr>
          <w:rFonts w:hint="eastAsia" w:ascii="仿宋_GB2312" w:hAnsi="仿宋" w:eastAsia="仿宋_GB2312" w:cs="___WRD_EMBED_SUB_39"/>
          <w:color w:val="333333"/>
          <w:sz w:val="32"/>
          <w:szCs w:val="32"/>
          <w:shd w:val="clear" w:color="auto" w:fill="FFFFFF"/>
        </w:rPr>
        <w:t>工作</w:t>
      </w:r>
      <w:r>
        <w:rPr>
          <w:rFonts w:hint="eastAsia" w:ascii="仿宋_GB2312" w:hAnsi="仿宋" w:eastAsia="仿宋_GB2312" w:cs="仿宋_GB2312"/>
          <w:color w:val="333333"/>
          <w:sz w:val="32"/>
          <w:szCs w:val="32"/>
          <w:shd w:val="clear" w:color="auto" w:fill="FFFFFF"/>
        </w:rPr>
        <w:t>。</w:t>
      </w:r>
    </w:p>
    <w:p>
      <w:pPr>
        <w:pStyle w:val="2"/>
        <w:spacing w:before="0" w:after="0" w:line="600" w:lineRule="exact"/>
        <w:ind w:firstLine="480" w:firstLineChars="150"/>
        <w:jc w:val="left"/>
        <w:rPr>
          <w:rFonts w:ascii="黑体" w:hAnsi="黑体" w:eastAsia="黑体" w:cs="黑体"/>
          <w:b w:val="0"/>
          <w:bCs w:val="0"/>
          <w:kern w:val="0"/>
          <w:sz w:val="32"/>
          <w:szCs w:val="32"/>
        </w:rPr>
      </w:pPr>
      <w:r>
        <w:rPr>
          <w:rFonts w:hint="eastAsia" w:ascii="黑体" w:hAnsi="黑体" w:eastAsia="黑体" w:cs="黑体"/>
          <w:b w:val="0"/>
          <w:bCs w:val="0"/>
          <w:kern w:val="0"/>
          <w:sz w:val="32"/>
          <w:szCs w:val="32"/>
        </w:rPr>
        <w:t>机构设置</w:t>
      </w:r>
    </w:p>
    <w:tbl>
      <w:tblPr>
        <w:tblStyle w:val="13"/>
        <w:tblpPr w:leftFromText="180" w:rightFromText="180" w:vertAnchor="text" w:horzAnchor="margin" w:tblpY="1106"/>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11" w:hRule="atLeast"/>
        </w:trPr>
        <w:tc>
          <w:tcPr>
            <w:tcW w:w="985" w:type="dxa"/>
            <w:noWrap w:val="0"/>
            <w:vAlign w:val="center"/>
          </w:tcPr>
          <w:p>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序号</w:t>
            </w:r>
          </w:p>
        </w:tc>
        <w:tc>
          <w:tcPr>
            <w:tcW w:w="3485" w:type="dxa"/>
            <w:noWrap w:val="0"/>
            <w:vAlign w:val="center"/>
          </w:tcPr>
          <w:p>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单位名称</w:t>
            </w:r>
          </w:p>
        </w:tc>
        <w:tc>
          <w:tcPr>
            <w:tcW w:w="2445" w:type="dxa"/>
            <w:noWrap w:val="0"/>
            <w:vAlign w:val="center"/>
          </w:tcPr>
          <w:p>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单位基本性质</w:t>
            </w:r>
          </w:p>
        </w:tc>
        <w:tc>
          <w:tcPr>
            <w:tcW w:w="2665" w:type="dxa"/>
            <w:noWrap w:val="0"/>
            <w:vAlign w:val="center"/>
          </w:tcPr>
          <w:p>
            <w:pPr>
              <w:spacing w:after="0" w:line="560" w:lineRule="exact"/>
              <w:jc w:val="center"/>
              <w:rPr>
                <w:rFonts w:ascii="仿宋" w:hAnsi="仿宋" w:eastAsia="仿宋" w:cs="ArialUnicodeMS"/>
                <w:b/>
                <w:bCs/>
                <w:kern w:val="0"/>
                <w:sz w:val="28"/>
                <w:szCs w:val="28"/>
              </w:rPr>
            </w:pPr>
            <w:r>
              <w:rPr>
                <w:rFonts w:hint="eastAsia" w:ascii="仿宋" w:hAnsi="仿宋" w:eastAsia="仿宋"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596" w:hRule="atLeast"/>
        </w:trPr>
        <w:tc>
          <w:tcPr>
            <w:tcW w:w="985" w:type="dxa"/>
            <w:noWrap w:val="0"/>
            <w:vAlign w:val="top"/>
          </w:tcPr>
          <w:p>
            <w:pPr>
              <w:spacing w:after="0" w:line="560" w:lineRule="exact"/>
              <w:jc w:val="center"/>
              <w:rPr>
                <w:rFonts w:ascii="仿宋" w:hAnsi="仿宋" w:eastAsia="仿宋" w:cs="ArialUnicodeMS"/>
                <w:kern w:val="0"/>
                <w:sz w:val="28"/>
                <w:szCs w:val="28"/>
              </w:rPr>
            </w:pPr>
            <w:r>
              <w:rPr>
                <w:rFonts w:hint="eastAsia" w:ascii="仿宋" w:hAnsi="仿宋" w:eastAsia="仿宋" w:cs="ArialUnicodeMS"/>
                <w:kern w:val="0"/>
                <w:sz w:val="28"/>
                <w:szCs w:val="28"/>
              </w:rPr>
              <w:t>1</w:t>
            </w:r>
          </w:p>
        </w:tc>
        <w:tc>
          <w:tcPr>
            <w:tcW w:w="3485" w:type="dxa"/>
            <w:noWrap w:val="0"/>
            <w:vAlign w:val="top"/>
          </w:tcPr>
          <w:p>
            <w:pPr>
              <w:spacing w:after="0" w:line="560" w:lineRule="exact"/>
              <w:jc w:val="center"/>
              <w:rPr>
                <w:rFonts w:ascii="仿宋" w:hAnsi="仿宋" w:eastAsia="仿宋" w:cs="ArialUnicodeMS"/>
                <w:kern w:val="0"/>
                <w:sz w:val="32"/>
                <w:szCs w:val="32"/>
              </w:rPr>
            </w:pPr>
            <w:r>
              <w:rPr>
                <w:rFonts w:hint="eastAsia" w:ascii="仿宋" w:hAnsi="仿宋" w:eastAsia="仿宋" w:cs="Arial"/>
                <w:color w:val="333333"/>
                <w:sz w:val="32"/>
                <w:szCs w:val="32"/>
                <w:shd w:val="clear" w:color="auto" w:fill="FFFFFF"/>
              </w:rPr>
              <w:t>文安县林业局</w:t>
            </w:r>
          </w:p>
        </w:tc>
        <w:tc>
          <w:tcPr>
            <w:tcW w:w="2445" w:type="dxa"/>
            <w:noWrap w:val="0"/>
            <w:vAlign w:val="top"/>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参公事业单位</w:t>
            </w:r>
          </w:p>
        </w:tc>
        <w:tc>
          <w:tcPr>
            <w:tcW w:w="2665" w:type="dxa"/>
            <w:noWrap w:val="0"/>
            <w:vAlign w:val="top"/>
          </w:tcPr>
          <w:p>
            <w:pPr>
              <w:spacing w:after="0" w:line="560" w:lineRule="exact"/>
              <w:jc w:val="center"/>
              <w:rPr>
                <w:rFonts w:ascii="仿宋" w:hAnsi="仿宋" w:eastAsia="仿宋" w:cs="ArialUnicodeMS"/>
                <w:kern w:val="0"/>
                <w:sz w:val="32"/>
                <w:szCs w:val="32"/>
              </w:rPr>
            </w:pPr>
            <w:r>
              <w:rPr>
                <w:rFonts w:hint="eastAsia" w:ascii="仿宋" w:hAnsi="仿宋" w:eastAsia="仿宋" w:cs="ArialUnicodeMS"/>
                <w:kern w:val="0"/>
                <w:sz w:val="32"/>
                <w:szCs w:val="32"/>
              </w:rPr>
              <w:t>财政性资金基本保证</w:t>
            </w:r>
          </w:p>
        </w:tc>
      </w:tr>
    </w:tbl>
    <w:p>
      <w:pPr>
        <w:spacing w:after="0" w:line="560" w:lineRule="exact"/>
        <w:jc w:val="center"/>
        <w:rPr>
          <w:rFonts w:ascii="仿宋" w:hAnsi="仿宋" w:eastAsia="仿宋"/>
          <w:color w:val="000000"/>
          <w:sz w:val="72"/>
          <w:szCs w:val="96"/>
        </w:rPr>
      </w:pPr>
      <w:r>
        <w:rPr>
          <w:rFonts w:hint="eastAsia" w:ascii="仿宋" w:hAnsi="仿宋" w:eastAsia="仿宋" w:cs="ArialUnicodeMS"/>
          <w:kern w:val="0"/>
          <w:sz w:val="32"/>
          <w:szCs w:val="32"/>
        </w:rPr>
        <w:t>文安县林业局部门机构设置情况</w:t>
      </w:r>
    </w:p>
    <w:p>
      <w:pPr>
        <w:widowControl/>
        <w:spacing w:line="1200" w:lineRule="exact"/>
        <w:jc w:val="center"/>
        <w:rPr>
          <w:rFonts w:ascii="仿宋" w:hAnsi="仿宋" w:eastAsia="仿宋"/>
          <w:color w:val="000000"/>
          <w:sz w:val="52"/>
          <w:szCs w:val="52"/>
        </w:rPr>
      </w:pPr>
    </w:p>
    <w:p>
      <w:pPr>
        <w:widowControl/>
        <w:spacing w:line="1200" w:lineRule="exact"/>
        <w:jc w:val="center"/>
        <w:rPr>
          <w:rFonts w:ascii="黑体" w:hAnsi="宋体" w:eastAsia="黑体"/>
          <w:color w:val="000000"/>
          <w:sz w:val="52"/>
          <w:szCs w:val="52"/>
        </w:rPr>
      </w:pPr>
    </w:p>
    <w:p>
      <w:pPr>
        <w:widowControl/>
        <w:spacing w:line="1200" w:lineRule="exact"/>
        <w:jc w:val="center"/>
        <w:rPr>
          <w:rFonts w:ascii="黑体" w:hAnsi="宋体" w:eastAsia="黑体"/>
          <w:color w:val="000000"/>
          <w:sz w:val="52"/>
          <w:szCs w:val="52"/>
        </w:rPr>
      </w:pPr>
    </w:p>
    <w:p>
      <w:pPr>
        <w:widowControl/>
        <w:spacing w:line="584" w:lineRule="exact"/>
        <w:ind w:firstLine="840" w:firstLineChars="300"/>
        <w:rPr>
          <w:rFonts w:ascii="黑体" w:hAnsi="宋体" w:eastAsia="黑体"/>
          <w:color w:val="000000"/>
          <w:sz w:val="32"/>
          <w:szCs w:val="32"/>
        </w:rPr>
      </w:pPr>
      <w:r>
        <w:rPr>
          <w:rFonts w:hint="eastAsia" w:ascii="黑体" w:hAnsi="宋体" w:eastAsia="黑体"/>
          <w:color w:val="000000"/>
          <w:sz w:val="28"/>
          <w:szCs w:val="28"/>
        </w:rPr>
        <w:t>二、</w:t>
      </w:r>
      <w:r>
        <w:rPr>
          <w:rFonts w:hint="eastAsia" w:ascii="黑体" w:hAnsi="宋体" w:eastAsia="黑体"/>
          <w:color w:val="000000"/>
          <w:sz w:val="32"/>
          <w:szCs w:val="32"/>
        </w:rPr>
        <w:t>部门决算报表（附表）</w:t>
      </w:r>
    </w:p>
    <w:p>
      <w:pPr>
        <w:widowControl/>
        <w:spacing w:line="584" w:lineRule="exact"/>
        <w:ind w:firstLine="840" w:firstLineChars="300"/>
        <w:rPr>
          <w:rFonts w:ascii="黑体" w:hAnsi="宋体" w:eastAsia="黑体"/>
          <w:color w:val="000000"/>
          <w:sz w:val="28"/>
          <w:szCs w:val="28"/>
        </w:rPr>
      </w:pPr>
      <w:r>
        <w:rPr>
          <w:rFonts w:hint="eastAsia" w:ascii="黑体" w:hAnsi="宋体" w:eastAsia="黑体"/>
          <w:color w:val="000000"/>
          <w:sz w:val="28"/>
          <w:szCs w:val="28"/>
        </w:rPr>
        <w:t>三、</w:t>
      </w:r>
      <w:r>
        <w:rPr>
          <w:rFonts w:hint="eastAsia" w:ascii="黑体" w:hAnsi="黑体" w:eastAsia="黑体"/>
          <w:sz w:val="32"/>
          <w:szCs w:val="32"/>
        </w:rPr>
        <w:t>2018年度部门决算情况说明</w:t>
      </w:r>
    </w:p>
    <w:p>
      <w:pPr>
        <w:widowControl/>
        <w:spacing w:line="584" w:lineRule="exact"/>
        <w:ind w:firstLine="640" w:firstLineChars="200"/>
        <w:rPr>
          <w:rFonts w:ascii="黑体" w:hAnsi="黑体" w:eastAsia="黑体" w:cs="DengXian-Regular"/>
          <w:kern w:val="0"/>
          <w:sz w:val="32"/>
          <w:szCs w:val="32"/>
        </w:rPr>
      </w:pPr>
      <w:r>
        <w:rPr>
          <w:rFonts w:hint="eastAsia" w:ascii="黑体" w:hAnsi="黑体" w:eastAsia="黑体" w:cs="DengXian-Regular"/>
          <w:kern w:val="0"/>
          <w:sz w:val="32"/>
          <w:szCs w:val="32"/>
        </w:rPr>
        <w:t>（一）收入支出决算总体情况说明</w:t>
      </w:r>
    </w:p>
    <w:p>
      <w:pPr>
        <w:pStyle w:val="11"/>
        <w:widowControl/>
        <w:shd w:val="clear" w:color="auto" w:fill="FFFFFF"/>
        <w:spacing w:before="0" w:beforeAutospacing="0" w:after="0" w:afterAutospacing="0" w:line="405" w:lineRule="atLeast"/>
        <w:ind w:firstLine="640" w:firstLineChars="200"/>
        <w:rPr>
          <w:rFonts w:hint="eastAsia" w:ascii="仿宋_GB2312" w:hAnsi="仿宋" w:eastAsia="仿宋_GB2312" w:cs="宋体"/>
          <w:color w:val="000000"/>
          <w:sz w:val="32"/>
          <w:szCs w:val="32"/>
          <w:shd w:val="clear" w:color="auto" w:fill="FFFFFF"/>
        </w:rPr>
      </w:pPr>
      <w:r>
        <w:rPr>
          <w:rFonts w:hint="eastAsia" w:ascii="仿宋_GB2312" w:hAnsi="仿宋" w:eastAsia="仿宋_GB2312" w:cs="DengXian-Regular"/>
          <w:sz w:val="32"/>
          <w:szCs w:val="32"/>
        </w:rPr>
        <w:t>2018年度决算收</w:t>
      </w:r>
      <w:r>
        <w:rPr>
          <w:rFonts w:hint="eastAsia" w:ascii="仿宋_GB2312" w:hAnsi="仿宋" w:eastAsia="仿宋_GB2312" w:cs="宋体"/>
          <w:sz w:val="32"/>
          <w:szCs w:val="32"/>
        </w:rPr>
        <w:t>入</w:t>
      </w:r>
      <w:r>
        <w:rPr>
          <w:rFonts w:hint="eastAsia" w:ascii="仿宋_GB2312" w:hAnsi="仿宋" w:eastAsia="仿宋_GB2312" w:cs="DengXian-Regular"/>
          <w:sz w:val="32"/>
          <w:szCs w:val="32"/>
        </w:rPr>
        <w:t>总计251</w:t>
      </w:r>
      <w:r>
        <w:rPr>
          <w:rFonts w:hint="eastAsia" w:ascii="仿宋_GB2312" w:hAnsi="仿宋" w:eastAsia="仿宋_GB2312" w:cs="宋体"/>
          <w:sz w:val="32"/>
          <w:szCs w:val="32"/>
        </w:rPr>
        <w:t>94.23</w:t>
      </w:r>
      <w:r>
        <w:rPr>
          <w:rFonts w:hint="eastAsia" w:ascii="仿宋_GB2312" w:hAnsi="仿宋" w:eastAsia="仿宋_GB2312" w:cs="DengXian-Regular"/>
          <w:sz w:val="32"/>
          <w:szCs w:val="32"/>
        </w:rPr>
        <w:t>万元，（其中，</w:t>
      </w:r>
      <w:r>
        <w:rPr>
          <w:rFonts w:hint="eastAsia" w:ascii="仿宋_GB2312" w:hAnsi="仿宋" w:eastAsia="仿宋_GB2312" w:cs="仿宋_GB2312"/>
          <w:color w:val="000000"/>
          <w:sz w:val="32"/>
          <w:szCs w:val="32"/>
          <w:shd w:val="clear" w:color="auto" w:fill="FFFFFF"/>
        </w:rPr>
        <w:t>年初结转和结余111</w:t>
      </w:r>
      <w:r>
        <w:rPr>
          <w:rFonts w:hint="eastAsia" w:ascii="仿宋_GB2312" w:hAnsi="仿宋" w:eastAsia="仿宋_GB2312" w:cs="宋体"/>
          <w:color w:val="000000"/>
          <w:sz w:val="32"/>
          <w:szCs w:val="32"/>
          <w:shd w:val="clear" w:color="auto" w:fill="FFFFFF"/>
        </w:rPr>
        <w:t>4.23</w:t>
      </w:r>
      <w:r>
        <w:rPr>
          <w:rFonts w:hint="eastAsia" w:ascii="仿宋_GB2312" w:hAnsi="仿宋" w:eastAsia="仿宋_GB2312" w:cs="仿宋_GB2312"/>
          <w:color w:val="000000"/>
          <w:sz w:val="32"/>
          <w:szCs w:val="32"/>
          <w:shd w:val="clear" w:color="auto" w:fill="FFFFFF"/>
        </w:rPr>
        <w:t>万元），</w:t>
      </w:r>
      <w:r>
        <w:rPr>
          <w:rFonts w:hint="eastAsia" w:ascii="仿宋_GB2312" w:hAnsi="仿宋" w:eastAsia="仿宋_GB2312" w:cs="DengXian-Regular"/>
          <w:sz w:val="32"/>
          <w:szCs w:val="32"/>
        </w:rPr>
        <w:t>与2017年度决算相比，收入增加73</w:t>
      </w:r>
      <w:r>
        <w:rPr>
          <w:rFonts w:hint="eastAsia" w:ascii="仿宋_GB2312" w:hAnsi="仿宋" w:eastAsia="仿宋_GB2312" w:cs="宋体"/>
          <w:sz w:val="32"/>
          <w:szCs w:val="32"/>
        </w:rPr>
        <w:t>47.38</w:t>
      </w:r>
      <w:r>
        <w:rPr>
          <w:rFonts w:hint="eastAsia" w:ascii="仿宋_GB2312" w:hAnsi="仿宋" w:eastAsia="仿宋_GB2312" w:cs="DengXian-Regular"/>
          <w:sz w:val="32"/>
          <w:szCs w:val="32"/>
        </w:rPr>
        <w:t>万元，增长</w:t>
      </w:r>
      <w:r>
        <w:rPr>
          <w:rFonts w:hint="eastAsia" w:ascii="仿宋_GB2312" w:hAnsi="仿宋" w:eastAsia="仿宋_GB2312" w:cs="宋体"/>
          <w:sz w:val="32"/>
          <w:szCs w:val="32"/>
        </w:rPr>
        <w:t>41.17</w:t>
      </w:r>
      <w:r>
        <w:rPr>
          <w:rFonts w:hint="eastAsia" w:ascii="仿宋_GB2312" w:hAnsi="仿宋" w:eastAsia="仿宋_GB2312" w:cs="DengXian-Regular"/>
          <w:sz w:val="32"/>
          <w:szCs w:val="32"/>
        </w:rPr>
        <w:t>%，主要是园林工程项目的增加；</w:t>
      </w:r>
      <w:r>
        <w:rPr>
          <w:rFonts w:hint="eastAsia" w:ascii="仿宋_GB2312" w:hAnsi="仿宋" w:eastAsia="仿宋_GB2312" w:cs="仿宋_GB2312"/>
          <w:color w:val="000000"/>
          <w:sz w:val="32"/>
          <w:szCs w:val="32"/>
          <w:shd w:val="clear" w:color="auto" w:fill="FFFFFF"/>
        </w:rPr>
        <w:t>2018年支出决算25808</w:t>
      </w:r>
      <w:r>
        <w:rPr>
          <w:rFonts w:hint="eastAsia" w:ascii="仿宋_GB2312" w:hAnsi="仿宋" w:eastAsia="仿宋_GB2312" w:cs="宋体"/>
          <w:color w:val="000000"/>
          <w:sz w:val="32"/>
          <w:szCs w:val="32"/>
          <w:shd w:val="clear" w:color="auto" w:fill="FFFFFF"/>
        </w:rPr>
        <w:t>.02</w:t>
      </w:r>
      <w:r>
        <w:rPr>
          <w:rFonts w:hint="eastAsia" w:ascii="仿宋_GB2312" w:hAnsi="仿宋" w:eastAsia="仿宋_GB2312" w:cs="仿宋_GB2312"/>
          <w:color w:val="000000"/>
          <w:sz w:val="32"/>
          <w:szCs w:val="32"/>
          <w:shd w:val="clear" w:color="auto" w:fill="FFFFFF"/>
        </w:rPr>
        <w:t>万元，（其中：年末项目结转和结余500</w:t>
      </w:r>
      <w:r>
        <w:rPr>
          <w:rFonts w:hint="eastAsia" w:ascii="仿宋_GB2312" w:hAnsi="仿宋" w:eastAsia="仿宋_GB2312" w:cs="宋体"/>
          <w:color w:val="000000"/>
          <w:sz w:val="32"/>
          <w:szCs w:val="32"/>
          <w:shd w:val="clear" w:color="auto" w:fill="FFFFFF"/>
        </w:rPr>
        <w:t>.44</w:t>
      </w:r>
      <w:r>
        <w:rPr>
          <w:rFonts w:hint="eastAsia" w:ascii="仿宋_GB2312" w:hAnsi="仿宋" w:eastAsia="仿宋_GB2312" w:cs="仿宋_GB2312"/>
          <w:color w:val="000000"/>
          <w:sz w:val="32"/>
          <w:szCs w:val="32"/>
          <w:shd w:val="clear" w:color="auto" w:fill="FFFFFF"/>
        </w:rPr>
        <w:t>万元）。与2017年度决算相比，增加了8236</w:t>
      </w:r>
      <w:r>
        <w:rPr>
          <w:rFonts w:hint="eastAsia" w:ascii="仿宋_GB2312" w:hAnsi="仿宋" w:eastAsia="仿宋_GB2312" w:cs="宋体"/>
          <w:color w:val="000000"/>
          <w:sz w:val="32"/>
          <w:szCs w:val="32"/>
          <w:shd w:val="clear" w:color="auto" w:fill="FFFFFF"/>
        </w:rPr>
        <w:t>.83万元，增长46.87%，</w:t>
      </w:r>
      <w:r>
        <w:rPr>
          <w:rFonts w:hint="eastAsia" w:ascii="仿宋_GB2312" w:hAnsi="仿宋" w:eastAsia="仿宋_GB2312" w:cs="DengXian-Regular"/>
          <w:sz w:val="32"/>
          <w:szCs w:val="32"/>
        </w:rPr>
        <w:t>主要是</w:t>
      </w:r>
      <w:r>
        <w:rPr>
          <w:rFonts w:hint="eastAsia" w:ascii="仿宋_GB2312" w:hAnsi="仿宋" w:eastAsia="仿宋_GB2312" w:cs="宋体"/>
          <w:sz w:val="32"/>
          <w:szCs w:val="32"/>
        </w:rPr>
        <w:t>园林</w:t>
      </w:r>
      <w:r>
        <w:rPr>
          <w:rFonts w:hint="eastAsia" w:ascii="仿宋_GB2312" w:hAnsi="仿宋" w:eastAsia="仿宋_GB2312" w:cs="___WRD_EMBED_SUB_39"/>
          <w:sz w:val="32"/>
          <w:szCs w:val="32"/>
        </w:rPr>
        <w:t>工程项目比2017年有所增</w:t>
      </w:r>
      <w:r>
        <w:rPr>
          <w:rFonts w:hint="eastAsia" w:ascii="仿宋_GB2312" w:hAnsi="仿宋" w:eastAsia="仿宋_GB2312" w:cs="DengXian-Regular"/>
          <w:sz w:val="32"/>
          <w:szCs w:val="32"/>
        </w:rPr>
        <w:t>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文安</w:t>
      </w:r>
      <w:r>
        <w:rPr>
          <w:rFonts w:hint="eastAsia" w:ascii="仿宋_GB2312" w:hAnsi="仿宋" w:eastAsia="仿宋_GB2312" w:cs="宋体"/>
          <w:sz w:val="32"/>
          <w:szCs w:val="32"/>
        </w:rPr>
        <w:t>县林业局</w:t>
      </w:r>
      <w:r>
        <w:rPr>
          <w:rFonts w:hint="eastAsia" w:ascii="仿宋_GB2312" w:hAnsi="仿宋" w:eastAsia="仿宋_GB2312" w:cs="DengXian-Regular"/>
          <w:sz w:val="32"/>
          <w:szCs w:val="32"/>
        </w:rPr>
        <w:t>2018年度本年决算收入合计251</w:t>
      </w:r>
      <w:r>
        <w:rPr>
          <w:rFonts w:hint="eastAsia" w:ascii="仿宋_GB2312" w:hAnsi="仿宋" w:eastAsia="仿宋_GB2312" w:cs="宋体"/>
          <w:sz w:val="32"/>
          <w:szCs w:val="32"/>
        </w:rPr>
        <w:t>94.23</w:t>
      </w:r>
      <w:r>
        <w:rPr>
          <w:rFonts w:hint="eastAsia" w:ascii="仿宋_GB2312" w:hAnsi="仿宋" w:eastAsia="仿宋_GB2312" w:cs="DengXian-Regular"/>
          <w:sz w:val="32"/>
          <w:szCs w:val="32"/>
        </w:rPr>
        <w:t>万元，其中：财政拨款收入251</w:t>
      </w:r>
      <w:r>
        <w:rPr>
          <w:rFonts w:hint="eastAsia" w:ascii="仿宋_GB2312" w:hAnsi="仿宋" w:eastAsia="仿宋_GB2312" w:cs="宋体"/>
          <w:sz w:val="32"/>
          <w:szCs w:val="32"/>
        </w:rPr>
        <w:t>94.23</w:t>
      </w:r>
      <w:r>
        <w:rPr>
          <w:rFonts w:hint="eastAsia" w:ascii="仿宋_GB2312" w:hAnsi="仿宋" w:eastAsia="仿宋_GB2312" w:cs="DengXian-Regular"/>
          <w:sz w:val="32"/>
          <w:szCs w:val="32"/>
        </w:rPr>
        <w:t>万元，占100%；上级补助收入0万元；事业收入0万元，占0%；经营收入0万元，占0%；其他收入0万元，占0%。</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2018年度文安林业局本年支出合计</w:t>
      </w:r>
      <w:r>
        <w:rPr>
          <w:rFonts w:hint="eastAsia" w:ascii="仿宋_GB2312" w:hAnsi="仿宋" w:eastAsia="仿宋_GB2312" w:cs="仿宋_GB2312"/>
          <w:color w:val="000000"/>
          <w:sz w:val="32"/>
          <w:szCs w:val="32"/>
          <w:shd w:val="clear" w:color="auto" w:fill="FFFFFF"/>
        </w:rPr>
        <w:t>25808</w:t>
      </w:r>
      <w:r>
        <w:rPr>
          <w:rFonts w:hint="eastAsia" w:ascii="仿宋_GB2312" w:hAnsi="仿宋" w:eastAsia="仿宋_GB2312" w:cs="宋体"/>
          <w:color w:val="000000"/>
          <w:sz w:val="32"/>
          <w:szCs w:val="32"/>
          <w:shd w:val="clear" w:color="auto" w:fill="FFFFFF"/>
        </w:rPr>
        <w:t>.02</w:t>
      </w:r>
      <w:r>
        <w:rPr>
          <w:rFonts w:hint="eastAsia" w:ascii="仿宋_GB2312" w:hAnsi="仿宋" w:eastAsia="仿宋_GB2312" w:cs="DengXian-Regular"/>
          <w:sz w:val="32"/>
          <w:szCs w:val="32"/>
        </w:rPr>
        <w:t>万元，其中：基本支出1</w:t>
      </w:r>
      <w:r>
        <w:rPr>
          <w:rFonts w:hint="eastAsia" w:ascii="仿宋_GB2312" w:hAnsi="仿宋" w:eastAsia="仿宋_GB2312" w:cs="宋体"/>
          <w:sz w:val="32"/>
          <w:szCs w:val="32"/>
        </w:rPr>
        <w:t>978.95</w:t>
      </w:r>
      <w:r>
        <w:rPr>
          <w:rFonts w:hint="eastAsia" w:ascii="仿宋_GB2312" w:hAnsi="仿宋" w:eastAsia="仿宋_GB2312" w:cs="DengXian-Regular"/>
          <w:sz w:val="32"/>
          <w:szCs w:val="32"/>
        </w:rPr>
        <w:t>万元，占7</w:t>
      </w:r>
      <w:r>
        <w:rPr>
          <w:rFonts w:hint="eastAsia" w:ascii="仿宋_GB2312" w:hAnsi="仿宋" w:eastAsia="仿宋_GB2312" w:cs="宋体"/>
          <w:sz w:val="32"/>
          <w:szCs w:val="32"/>
        </w:rPr>
        <w:t>.67</w:t>
      </w:r>
      <w:r>
        <w:rPr>
          <w:rFonts w:hint="eastAsia" w:ascii="仿宋_GB2312" w:hAnsi="仿宋" w:eastAsia="仿宋_GB2312" w:cs="DengXian-Regular"/>
          <w:sz w:val="32"/>
          <w:szCs w:val="32"/>
        </w:rPr>
        <w:t>%；项目支出2382</w:t>
      </w:r>
      <w:r>
        <w:rPr>
          <w:rFonts w:hint="eastAsia" w:ascii="仿宋_GB2312" w:hAnsi="仿宋" w:eastAsia="仿宋_GB2312" w:cs="宋体"/>
          <w:sz w:val="32"/>
          <w:szCs w:val="32"/>
        </w:rPr>
        <w:t>9.07</w:t>
      </w:r>
      <w:r>
        <w:rPr>
          <w:rFonts w:hint="eastAsia" w:ascii="仿宋_GB2312" w:hAnsi="仿宋" w:eastAsia="仿宋_GB2312" w:cs="DengXian-Regular"/>
          <w:sz w:val="32"/>
          <w:szCs w:val="32"/>
        </w:rPr>
        <w:t>万元，占</w:t>
      </w:r>
      <w:r>
        <w:rPr>
          <w:rFonts w:hint="eastAsia" w:ascii="仿宋_GB2312" w:hAnsi="仿宋" w:eastAsia="仿宋_GB2312" w:cs="宋体"/>
          <w:sz w:val="32"/>
          <w:szCs w:val="32"/>
        </w:rPr>
        <w:t>92.33</w:t>
      </w:r>
      <w:r>
        <w:rPr>
          <w:rFonts w:hint="eastAsia" w:ascii="仿宋_GB2312" w:hAnsi="仿宋" w:eastAsia="仿宋_GB2312" w:cs="DengXian-Regular"/>
          <w:sz w:val="32"/>
          <w:szCs w:val="32"/>
        </w:rPr>
        <w:t>%；经营支出0万元，占0%。</w:t>
      </w:r>
    </w:p>
    <w:p>
      <w:pPr>
        <w:pStyle w:val="3"/>
        <w:spacing w:before="0" w:after="0" w:line="580" w:lineRule="exact"/>
        <w:ind w:firstLine="320" w:firstLineChars="1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1</w:t>
      </w:r>
      <w:r>
        <w:rPr>
          <w:rFonts w:hint="eastAsia" w:ascii="宋体" w:hAnsi="宋体" w:cs="宋体"/>
          <w:b/>
          <w:bCs/>
          <w:sz w:val="32"/>
          <w:szCs w:val="32"/>
        </w:rPr>
        <w:t>.</w:t>
      </w:r>
      <w:r>
        <w:rPr>
          <w:rFonts w:hint="eastAsia" w:ascii="楷体_GB2312" w:eastAsia="楷体_GB2312" w:cs="DengXian-Bold"/>
          <w:b/>
          <w:bCs/>
          <w:sz w:val="32"/>
          <w:szCs w:val="32"/>
        </w:rPr>
        <w:t>财政拨款收支与2017 年度决算对比情况</w:t>
      </w:r>
    </w:p>
    <w:p>
      <w:pPr>
        <w:adjustRightInd w:val="0"/>
        <w:snapToGrid w:val="0"/>
        <w:spacing w:after="0" w:line="580" w:lineRule="exact"/>
        <w:ind w:firstLine="640" w:firstLineChars="200"/>
        <w:rPr>
          <w:rFonts w:hint="eastAsia" w:ascii="仿宋_GB2312" w:hAnsi="仿宋" w:eastAsia="仿宋_GB2312" w:cs="DengXian-Regular"/>
          <w:color w:val="000000"/>
          <w:sz w:val="32"/>
          <w:szCs w:val="32"/>
        </w:rPr>
      </w:pPr>
      <w:r>
        <w:rPr>
          <w:rFonts w:hint="eastAsia" w:ascii="仿宋_GB2312" w:hAnsi="仿宋" w:eastAsia="仿宋_GB2312" w:cs="DengXian-Regular"/>
          <w:color w:val="000000"/>
          <w:sz w:val="32"/>
          <w:szCs w:val="32"/>
        </w:rPr>
        <w:t>文安县林业局2018年度财政拨款本年收入251</w:t>
      </w:r>
      <w:r>
        <w:rPr>
          <w:rFonts w:hint="eastAsia" w:ascii="仿宋_GB2312" w:hAnsi="仿宋" w:eastAsia="仿宋_GB2312" w:cs="宋体"/>
          <w:color w:val="000000"/>
          <w:sz w:val="32"/>
          <w:szCs w:val="32"/>
        </w:rPr>
        <w:t>94.23</w:t>
      </w:r>
      <w:r>
        <w:rPr>
          <w:rFonts w:hint="eastAsia" w:ascii="仿宋_GB2312" w:hAnsi="仿宋" w:eastAsia="仿宋_GB2312" w:cs="DengXian-Regular"/>
          <w:color w:val="000000"/>
          <w:sz w:val="32"/>
          <w:szCs w:val="32"/>
        </w:rPr>
        <w:t>万元,比2017年度增加73</w:t>
      </w:r>
      <w:r>
        <w:rPr>
          <w:rFonts w:hint="eastAsia" w:ascii="仿宋_GB2312" w:hAnsi="仿宋" w:eastAsia="仿宋_GB2312" w:cs="宋体"/>
          <w:color w:val="000000"/>
          <w:sz w:val="32"/>
          <w:szCs w:val="32"/>
        </w:rPr>
        <w:t>47.38</w:t>
      </w:r>
      <w:r>
        <w:rPr>
          <w:rFonts w:hint="eastAsia" w:ascii="仿宋_GB2312" w:hAnsi="仿宋" w:eastAsia="仿宋_GB2312" w:cs="DengXian-Regular"/>
          <w:color w:val="000000"/>
          <w:sz w:val="32"/>
          <w:szCs w:val="32"/>
        </w:rPr>
        <w:t>万元，增长</w:t>
      </w:r>
      <w:r>
        <w:rPr>
          <w:rFonts w:hint="eastAsia" w:ascii="仿宋_GB2312" w:hAnsi="仿宋" w:eastAsia="仿宋_GB2312" w:cs="宋体"/>
          <w:color w:val="000000"/>
          <w:sz w:val="32"/>
          <w:szCs w:val="32"/>
        </w:rPr>
        <w:t>41。17</w:t>
      </w:r>
      <w:r>
        <w:rPr>
          <w:rFonts w:hint="eastAsia" w:ascii="仿宋_GB2312" w:hAnsi="仿宋" w:eastAsia="仿宋_GB2312" w:cs="DengXian-Regular"/>
          <w:color w:val="000000"/>
          <w:sz w:val="32"/>
          <w:szCs w:val="32"/>
        </w:rPr>
        <w:t>%，主要是园林工程项目较多；本年支出</w:t>
      </w:r>
      <w:r>
        <w:rPr>
          <w:rFonts w:hint="eastAsia" w:ascii="仿宋_GB2312" w:hAnsi="仿宋" w:eastAsia="仿宋_GB2312" w:cs="仿宋_GB2312"/>
          <w:color w:val="000000"/>
          <w:sz w:val="32"/>
          <w:szCs w:val="32"/>
          <w:shd w:val="clear" w:color="auto" w:fill="FFFFFF"/>
        </w:rPr>
        <w:t>25808</w:t>
      </w:r>
      <w:r>
        <w:rPr>
          <w:rFonts w:hint="eastAsia" w:ascii="仿宋_GB2312" w:hAnsi="仿宋" w:eastAsia="仿宋_GB2312" w:cs="宋体"/>
          <w:color w:val="000000"/>
          <w:sz w:val="32"/>
          <w:szCs w:val="32"/>
          <w:shd w:val="clear" w:color="auto" w:fill="FFFFFF"/>
        </w:rPr>
        <w:t>.02</w:t>
      </w:r>
      <w:r>
        <w:rPr>
          <w:rFonts w:hint="eastAsia" w:ascii="仿宋_GB2312" w:hAnsi="仿宋" w:eastAsia="仿宋_GB2312" w:cs="DengXian-Regular"/>
          <w:color w:val="000000"/>
          <w:sz w:val="32"/>
          <w:szCs w:val="32"/>
        </w:rPr>
        <w:t>万元，增加</w:t>
      </w:r>
      <w:r>
        <w:rPr>
          <w:rFonts w:hint="eastAsia" w:ascii="仿宋_GB2312" w:hAnsi="仿宋" w:eastAsia="仿宋_GB2312" w:cs="仿宋_GB2312"/>
          <w:color w:val="000000"/>
          <w:sz w:val="32"/>
          <w:szCs w:val="32"/>
          <w:shd w:val="clear" w:color="auto" w:fill="FFFFFF"/>
        </w:rPr>
        <w:t>8236</w:t>
      </w:r>
      <w:r>
        <w:rPr>
          <w:rFonts w:hint="eastAsia" w:ascii="仿宋_GB2312" w:hAnsi="仿宋" w:eastAsia="仿宋_GB2312" w:cs="宋体"/>
          <w:color w:val="000000"/>
          <w:sz w:val="32"/>
          <w:szCs w:val="32"/>
          <w:shd w:val="clear" w:color="auto" w:fill="FFFFFF"/>
        </w:rPr>
        <w:t>.83</w:t>
      </w:r>
      <w:r>
        <w:rPr>
          <w:rFonts w:hint="eastAsia" w:ascii="仿宋_GB2312" w:hAnsi="仿宋" w:eastAsia="仿宋_GB2312" w:cs="DengXian-Regular"/>
          <w:color w:val="000000"/>
          <w:sz w:val="32"/>
          <w:szCs w:val="32"/>
        </w:rPr>
        <w:t>万元，增长</w:t>
      </w:r>
      <w:r>
        <w:rPr>
          <w:rFonts w:hint="eastAsia" w:ascii="仿宋_GB2312" w:hAnsi="仿宋" w:eastAsia="仿宋_GB2312" w:cs="宋体"/>
          <w:color w:val="000000"/>
          <w:sz w:val="32"/>
          <w:szCs w:val="32"/>
        </w:rPr>
        <w:t>46.87</w:t>
      </w:r>
      <w:r>
        <w:rPr>
          <w:rFonts w:hint="eastAsia" w:ascii="仿宋_GB2312" w:hAnsi="仿宋" w:eastAsia="仿宋_GB2312" w:cs="DengXian-Regular"/>
          <w:color w:val="000000"/>
          <w:sz w:val="32"/>
          <w:szCs w:val="32"/>
        </w:rPr>
        <w:t>%，主要是园林工程项目较多。</w:t>
      </w:r>
    </w:p>
    <w:p>
      <w:pPr>
        <w:adjustRightInd w:val="0"/>
        <w:snapToGrid w:val="0"/>
        <w:spacing w:after="0" w:line="580" w:lineRule="exact"/>
        <w:ind w:firstLine="640" w:firstLineChars="200"/>
        <w:rPr>
          <w:rFonts w:hint="eastAsia" w:ascii="仿宋_GB2312" w:hAnsi="仿宋" w:eastAsia="仿宋_GB2312" w:cs="DengXian-Regular"/>
          <w:color w:val="000000"/>
          <w:sz w:val="32"/>
          <w:szCs w:val="32"/>
        </w:rPr>
      </w:pPr>
      <w:r>
        <w:rPr>
          <w:rFonts w:hint="eastAsia" w:ascii="仿宋_GB2312" w:hAnsi="仿宋" w:eastAsia="仿宋_GB2312" w:cs="DengXian-Regular"/>
          <w:color w:val="000000"/>
          <w:sz w:val="32"/>
          <w:szCs w:val="32"/>
        </w:rPr>
        <w:t>其中：一般公共预算财政拨款本年收入1828</w:t>
      </w:r>
      <w:r>
        <w:rPr>
          <w:rFonts w:hint="eastAsia" w:ascii="仿宋_GB2312" w:hAnsi="仿宋" w:eastAsia="仿宋_GB2312" w:cs="宋体"/>
          <w:color w:val="000000"/>
          <w:sz w:val="32"/>
          <w:szCs w:val="32"/>
        </w:rPr>
        <w:t>9.23</w:t>
      </w:r>
      <w:r>
        <w:rPr>
          <w:rFonts w:hint="eastAsia" w:ascii="仿宋_GB2312" w:hAnsi="仿宋" w:eastAsia="仿宋_GB2312" w:cs="DengXian-Regular"/>
          <w:color w:val="000000"/>
          <w:sz w:val="32"/>
          <w:szCs w:val="32"/>
        </w:rPr>
        <w:t>万元，比2017年度增加7230</w:t>
      </w:r>
      <w:r>
        <w:rPr>
          <w:rFonts w:hint="eastAsia" w:ascii="仿宋_GB2312" w:hAnsi="仿宋" w:eastAsia="仿宋_GB2312" w:cs="宋体"/>
          <w:color w:val="000000"/>
          <w:sz w:val="32"/>
          <w:szCs w:val="32"/>
        </w:rPr>
        <w:t>.28</w:t>
      </w:r>
      <w:r>
        <w:rPr>
          <w:rFonts w:hint="eastAsia" w:ascii="仿宋_GB2312" w:hAnsi="仿宋" w:eastAsia="仿宋_GB2312" w:cs="DengXian-Regular"/>
          <w:color w:val="000000"/>
          <w:sz w:val="32"/>
          <w:szCs w:val="32"/>
        </w:rPr>
        <w:t>万元,</w:t>
      </w:r>
      <w:r>
        <w:rPr>
          <w:rFonts w:hint="eastAsia" w:ascii="仿宋_GB2312" w:hAnsi="仿宋" w:eastAsia="仿宋_GB2312" w:cs="宋体"/>
          <w:color w:val="000000"/>
          <w:sz w:val="32"/>
          <w:szCs w:val="32"/>
        </w:rPr>
        <w:t>增长65.38%</w:t>
      </w:r>
      <w:r>
        <w:rPr>
          <w:rFonts w:hint="eastAsia" w:ascii="仿宋_GB2312" w:hAnsi="仿宋" w:eastAsia="仿宋_GB2312" w:cs="DengXian-Regular"/>
          <w:color w:val="000000"/>
          <w:sz w:val="32"/>
          <w:szCs w:val="32"/>
        </w:rPr>
        <w:t>；主要是园林工程项目较多；本年支出18</w:t>
      </w:r>
      <w:r>
        <w:rPr>
          <w:rFonts w:hint="eastAsia" w:ascii="仿宋_GB2312" w:hAnsi="仿宋" w:eastAsia="仿宋_GB2312" w:cs="宋体"/>
          <w:color w:val="000000"/>
          <w:sz w:val="32"/>
          <w:szCs w:val="32"/>
        </w:rPr>
        <w:t>903.02</w:t>
      </w:r>
      <w:r>
        <w:rPr>
          <w:rFonts w:hint="eastAsia" w:ascii="仿宋_GB2312" w:hAnsi="仿宋" w:eastAsia="仿宋_GB2312" w:cs="DengXian-Regular"/>
          <w:color w:val="000000"/>
          <w:sz w:val="32"/>
          <w:szCs w:val="32"/>
        </w:rPr>
        <w:t>万元，比2017年度增加7</w:t>
      </w:r>
      <w:r>
        <w:rPr>
          <w:rFonts w:hint="eastAsia" w:ascii="仿宋_GB2312" w:hAnsi="仿宋" w:eastAsia="仿宋_GB2312" w:cs="宋体"/>
          <w:color w:val="000000"/>
          <w:sz w:val="32"/>
          <w:szCs w:val="32"/>
        </w:rPr>
        <w:t>972.73</w:t>
      </w:r>
      <w:r>
        <w:rPr>
          <w:rFonts w:hint="eastAsia" w:ascii="仿宋_GB2312" w:hAnsi="仿宋" w:eastAsia="仿宋_GB2312" w:cs="DengXian-Regular"/>
          <w:color w:val="000000"/>
          <w:sz w:val="32"/>
          <w:szCs w:val="32"/>
        </w:rPr>
        <w:t>万元，增长72</w:t>
      </w:r>
      <w:r>
        <w:rPr>
          <w:rFonts w:hint="eastAsia" w:ascii="仿宋_GB2312" w:hAnsi="仿宋" w:eastAsia="仿宋_GB2312" w:cs="宋体"/>
          <w:color w:val="000000"/>
          <w:sz w:val="32"/>
          <w:szCs w:val="32"/>
        </w:rPr>
        <w:t>.94</w:t>
      </w:r>
      <w:r>
        <w:rPr>
          <w:rFonts w:hint="eastAsia" w:ascii="仿宋_GB2312" w:hAnsi="仿宋" w:eastAsia="仿宋_GB2312" w:cs="DengXian-Regular"/>
          <w:color w:val="000000"/>
          <w:sz w:val="32"/>
          <w:szCs w:val="32"/>
        </w:rPr>
        <w:t>%，主要是园林工程项目较多。政府性基金预算财政拨款本年收入6</w:t>
      </w:r>
      <w:r>
        <w:rPr>
          <w:rFonts w:hint="eastAsia" w:ascii="仿宋_GB2312" w:hAnsi="仿宋" w:eastAsia="仿宋_GB2312" w:cs="宋体"/>
          <w:color w:val="000000"/>
          <w:sz w:val="32"/>
          <w:szCs w:val="32"/>
        </w:rPr>
        <w:t>905</w:t>
      </w:r>
      <w:r>
        <w:rPr>
          <w:rFonts w:hint="eastAsia" w:ascii="仿宋_GB2312" w:hAnsi="仿宋" w:eastAsia="仿宋_GB2312" w:cs="DengXian-Regular"/>
          <w:color w:val="000000"/>
          <w:sz w:val="32"/>
          <w:szCs w:val="32"/>
        </w:rPr>
        <w:t>万元，比2017年度增加117</w:t>
      </w:r>
      <w:r>
        <w:rPr>
          <w:rFonts w:hint="eastAsia" w:ascii="仿宋_GB2312" w:hAnsi="仿宋" w:eastAsia="仿宋_GB2312" w:cs="宋体"/>
          <w:color w:val="000000"/>
          <w:sz w:val="32"/>
          <w:szCs w:val="32"/>
        </w:rPr>
        <w:t>.1</w:t>
      </w:r>
      <w:r>
        <w:rPr>
          <w:rFonts w:hint="eastAsia" w:ascii="仿宋_GB2312" w:hAnsi="仿宋" w:eastAsia="仿宋_GB2312" w:cs="DengXian-Regular"/>
          <w:color w:val="000000"/>
          <w:sz w:val="32"/>
          <w:szCs w:val="32"/>
        </w:rPr>
        <w:t>万元，增长1</w:t>
      </w:r>
      <w:r>
        <w:rPr>
          <w:rFonts w:hint="eastAsia" w:ascii="仿宋_GB2312" w:hAnsi="仿宋" w:eastAsia="仿宋_GB2312" w:cs="宋体"/>
          <w:color w:val="000000"/>
          <w:sz w:val="32"/>
          <w:szCs w:val="32"/>
        </w:rPr>
        <w:t>.73</w:t>
      </w:r>
      <w:r>
        <w:rPr>
          <w:rFonts w:hint="eastAsia" w:ascii="仿宋_GB2312" w:hAnsi="仿宋" w:eastAsia="仿宋_GB2312" w:cs="DengXian-Regular"/>
          <w:color w:val="000000"/>
          <w:sz w:val="32"/>
          <w:szCs w:val="32"/>
        </w:rPr>
        <w:t>%，主要是园林工程项目较多；本年支出7052万元，比2017年度增加26</w:t>
      </w:r>
      <w:r>
        <w:rPr>
          <w:rFonts w:hint="eastAsia" w:ascii="仿宋_GB2312" w:hAnsi="仿宋" w:eastAsia="仿宋_GB2312" w:cs="宋体"/>
          <w:color w:val="000000"/>
          <w:sz w:val="32"/>
          <w:szCs w:val="32"/>
        </w:rPr>
        <w:t>4.1</w:t>
      </w:r>
      <w:r>
        <w:rPr>
          <w:rFonts w:hint="eastAsia" w:ascii="仿宋_GB2312" w:hAnsi="仿宋" w:eastAsia="仿宋_GB2312" w:cs="DengXian-Regular"/>
          <w:color w:val="000000"/>
          <w:sz w:val="32"/>
          <w:szCs w:val="32"/>
        </w:rPr>
        <w:t>万元，增长3</w:t>
      </w:r>
      <w:r>
        <w:rPr>
          <w:rFonts w:hint="eastAsia" w:ascii="仿宋_GB2312" w:hAnsi="仿宋" w:eastAsia="仿宋_GB2312" w:cs="宋体"/>
          <w:color w:val="000000"/>
          <w:sz w:val="32"/>
          <w:szCs w:val="32"/>
        </w:rPr>
        <w:t>.98</w:t>
      </w:r>
      <w:r>
        <w:rPr>
          <w:rFonts w:hint="eastAsia" w:ascii="仿宋_GB2312" w:hAnsi="仿宋" w:eastAsia="仿宋_GB2312" w:cs="DengXian-Regular"/>
          <w:color w:val="000000"/>
          <w:sz w:val="32"/>
          <w:szCs w:val="32"/>
        </w:rPr>
        <w:t>%，主要是园林工程项目较多。</w:t>
      </w: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2</w:t>
      </w:r>
      <w:r>
        <w:rPr>
          <w:rFonts w:hint="eastAsia" w:ascii="宋体" w:hAnsi="宋体" w:cs="宋体"/>
          <w:b/>
          <w:bCs/>
          <w:sz w:val="32"/>
          <w:szCs w:val="32"/>
        </w:rPr>
        <w:t>.</w:t>
      </w:r>
      <w:r>
        <w:rPr>
          <w:rFonts w:hint="eastAsia" w:ascii="楷体_GB2312" w:eastAsia="楷体_GB2312" w:cs="DengXian-Bold"/>
          <w:b/>
          <w:bCs/>
          <w:sz w:val="32"/>
          <w:szCs w:val="32"/>
        </w:rPr>
        <w:t>财政拨款收支与年初预算数对比情况</w:t>
      </w:r>
    </w:p>
    <w:p>
      <w:pPr>
        <w:adjustRightInd w:val="0"/>
        <w:snapToGrid w:val="0"/>
        <w:spacing w:after="0" w:line="580" w:lineRule="exact"/>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文安县林业局2018年度财政拨款本年收入251</w:t>
      </w:r>
      <w:r>
        <w:rPr>
          <w:rFonts w:hint="eastAsia" w:ascii="仿宋_GB2312" w:hAnsi="仿宋" w:eastAsia="仿宋_GB2312" w:cs="宋体"/>
          <w:sz w:val="32"/>
          <w:szCs w:val="32"/>
        </w:rPr>
        <w:t>94.23</w:t>
      </w:r>
      <w:r>
        <w:rPr>
          <w:rFonts w:hint="eastAsia" w:ascii="仿宋_GB2312" w:hAnsi="仿宋" w:eastAsia="仿宋_GB2312" w:cs="DengXian-Regular"/>
          <w:sz w:val="32"/>
          <w:szCs w:val="32"/>
        </w:rPr>
        <w:t>万元，完成年初预算的313%,比年初预算增加1</w:t>
      </w:r>
      <w:r>
        <w:rPr>
          <w:rFonts w:hint="eastAsia" w:ascii="仿宋_GB2312" w:hAnsi="仿宋" w:eastAsia="仿宋_GB2312" w:cs="宋体"/>
          <w:sz w:val="32"/>
          <w:szCs w:val="32"/>
        </w:rPr>
        <w:t>9094.76</w:t>
      </w:r>
      <w:r>
        <w:rPr>
          <w:rFonts w:hint="eastAsia" w:ascii="仿宋_GB2312" w:hAnsi="仿宋" w:eastAsia="仿宋_GB2312" w:cs="DengXian-Regular"/>
          <w:sz w:val="32"/>
          <w:szCs w:val="32"/>
        </w:rPr>
        <w:t>万元，决算数大于预算数主要是园林工程项目的增加；本年支出</w:t>
      </w:r>
      <w:r>
        <w:rPr>
          <w:rFonts w:hint="eastAsia" w:ascii="仿宋_GB2312" w:hAnsi="仿宋" w:eastAsia="仿宋_GB2312" w:cs="仿宋_GB2312"/>
          <w:sz w:val="32"/>
          <w:szCs w:val="32"/>
          <w:shd w:val="clear" w:color="auto" w:fill="FFFFFF"/>
        </w:rPr>
        <w:t>25808</w:t>
      </w:r>
      <w:r>
        <w:rPr>
          <w:rFonts w:hint="eastAsia" w:ascii="仿宋_GB2312" w:hAnsi="仿宋" w:eastAsia="仿宋_GB2312" w:cs="宋体"/>
          <w:sz w:val="32"/>
          <w:szCs w:val="32"/>
          <w:shd w:val="clear" w:color="auto" w:fill="FFFFFF"/>
        </w:rPr>
        <w:t>.02</w:t>
      </w:r>
      <w:r>
        <w:rPr>
          <w:rFonts w:hint="eastAsia" w:ascii="仿宋_GB2312" w:hAnsi="仿宋" w:eastAsia="仿宋_GB2312" w:cs="DengXian-Regular"/>
          <w:sz w:val="32"/>
          <w:szCs w:val="32"/>
        </w:rPr>
        <w:t>万元，完成年初预算的323%,比年初预算增加1</w:t>
      </w:r>
      <w:r>
        <w:rPr>
          <w:rFonts w:hint="eastAsia" w:ascii="仿宋_GB2312" w:hAnsi="仿宋" w:eastAsia="仿宋_GB2312" w:cs="宋体"/>
          <w:sz w:val="32"/>
          <w:szCs w:val="32"/>
        </w:rPr>
        <w:t>9708.55</w:t>
      </w:r>
      <w:r>
        <w:rPr>
          <w:rFonts w:hint="eastAsia" w:ascii="仿宋_GB2312" w:hAnsi="仿宋" w:eastAsia="仿宋_GB2312" w:cs="DengXian-Regular"/>
          <w:sz w:val="32"/>
          <w:szCs w:val="32"/>
        </w:rPr>
        <w:t>万元，决算数大于预算数主要是园林工程项目和人员工资有所增加。</w:t>
      </w:r>
    </w:p>
    <w:p>
      <w:pPr>
        <w:adjustRightInd w:val="0"/>
        <w:snapToGrid w:val="0"/>
        <w:spacing w:after="0" w:line="580" w:lineRule="exact"/>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其中，一般公共预算财政拨款本年收入完成年初预算2</w:t>
      </w:r>
      <w:r>
        <w:rPr>
          <w:rFonts w:hint="eastAsia" w:ascii="仿宋_GB2312" w:hAnsi="仿宋" w:eastAsia="仿宋_GB2312" w:cs="宋体"/>
          <w:sz w:val="32"/>
          <w:szCs w:val="32"/>
        </w:rPr>
        <w:t>99.85</w:t>
      </w:r>
      <w:r>
        <w:rPr>
          <w:rFonts w:hint="eastAsia" w:ascii="仿宋_GB2312" w:hAnsi="仿宋" w:eastAsia="仿宋_GB2312" w:cs="DengXian-Regular"/>
          <w:sz w:val="32"/>
          <w:szCs w:val="32"/>
        </w:rPr>
        <w:t>%，比年初预算增加1218</w:t>
      </w:r>
      <w:r>
        <w:rPr>
          <w:rFonts w:hint="eastAsia" w:ascii="仿宋_GB2312" w:hAnsi="仿宋" w:eastAsia="仿宋_GB2312" w:cs="宋体"/>
          <w:sz w:val="32"/>
          <w:szCs w:val="32"/>
        </w:rPr>
        <w:t>9.76</w:t>
      </w:r>
      <w:r>
        <w:rPr>
          <w:rFonts w:hint="eastAsia" w:ascii="仿宋_GB2312" w:hAnsi="仿宋" w:eastAsia="仿宋_GB2312" w:cs="DengXian-Regular"/>
          <w:sz w:val="32"/>
          <w:szCs w:val="32"/>
        </w:rPr>
        <w:t>万元，决算数大于预算数主要是园林工程项目的增加；支出完成年初预算30</w:t>
      </w:r>
      <w:r>
        <w:rPr>
          <w:rFonts w:hint="eastAsia" w:ascii="仿宋_GB2312" w:hAnsi="仿宋" w:eastAsia="仿宋_GB2312" w:cs="宋体"/>
          <w:sz w:val="32"/>
          <w:szCs w:val="32"/>
        </w:rPr>
        <w:t>9.91</w:t>
      </w:r>
      <w:r>
        <w:rPr>
          <w:rFonts w:hint="eastAsia" w:ascii="仿宋_GB2312" w:hAnsi="仿宋" w:eastAsia="仿宋_GB2312" w:cs="DengXian-Regular"/>
          <w:sz w:val="32"/>
          <w:szCs w:val="32"/>
        </w:rPr>
        <w:t>%，比年初预算增加12803</w:t>
      </w:r>
      <w:r>
        <w:rPr>
          <w:rFonts w:hint="eastAsia" w:ascii="仿宋_GB2312" w:hAnsi="仿宋" w:eastAsia="仿宋_GB2312" w:cs="宋体"/>
          <w:sz w:val="32"/>
          <w:szCs w:val="32"/>
        </w:rPr>
        <w:t>.55</w:t>
      </w:r>
      <w:r>
        <w:rPr>
          <w:rFonts w:hint="eastAsia" w:ascii="仿宋_GB2312" w:hAnsi="仿宋" w:eastAsia="仿宋_GB2312" w:cs="DengXian-Regular"/>
          <w:sz w:val="32"/>
          <w:szCs w:val="32"/>
        </w:rPr>
        <w:t>万元，决算数</w:t>
      </w:r>
      <w:r>
        <w:rPr>
          <w:rFonts w:hint="eastAsia" w:ascii="仿宋_GB2312" w:hAnsi="仿宋" w:eastAsia="仿宋_GB2312" w:cs="宋体"/>
          <w:sz w:val="32"/>
          <w:szCs w:val="32"/>
        </w:rPr>
        <w:t>大于</w:t>
      </w:r>
      <w:r>
        <w:rPr>
          <w:rFonts w:hint="eastAsia" w:ascii="仿宋_GB2312" w:hAnsi="仿宋" w:eastAsia="仿宋_GB2312" w:cs="DengXian-Regular"/>
          <w:sz w:val="32"/>
          <w:szCs w:val="32"/>
        </w:rPr>
        <w:t>预算数主要是园林工程有所增加。政府性基金预算财政拨款本年收入为6</w:t>
      </w:r>
      <w:r>
        <w:rPr>
          <w:rFonts w:hint="eastAsia" w:ascii="仿宋_GB2312" w:hAnsi="仿宋" w:eastAsia="仿宋_GB2312" w:cs="宋体"/>
          <w:sz w:val="32"/>
          <w:szCs w:val="32"/>
        </w:rPr>
        <w:t>905，年初预算数为0万元</w:t>
      </w:r>
      <w:r>
        <w:rPr>
          <w:rFonts w:hint="eastAsia" w:ascii="仿宋_GB2312" w:hAnsi="仿宋" w:eastAsia="仿宋_GB2312" w:cs="DengXian-Regular"/>
          <w:sz w:val="32"/>
          <w:szCs w:val="32"/>
        </w:rPr>
        <w:t>，比年初预算增加6</w:t>
      </w:r>
      <w:r>
        <w:rPr>
          <w:rFonts w:hint="eastAsia" w:ascii="仿宋_GB2312" w:hAnsi="仿宋" w:eastAsia="仿宋_GB2312" w:cs="宋体"/>
          <w:sz w:val="32"/>
          <w:szCs w:val="32"/>
        </w:rPr>
        <w:t>905</w:t>
      </w:r>
      <w:r>
        <w:rPr>
          <w:rFonts w:hint="eastAsia" w:ascii="仿宋_GB2312" w:hAnsi="仿宋" w:eastAsia="仿宋_GB2312" w:cs="DengXian-Regular"/>
          <w:sz w:val="32"/>
          <w:szCs w:val="32"/>
        </w:rPr>
        <w:t>万元，决算支出数为6</w:t>
      </w:r>
      <w:r>
        <w:rPr>
          <w:rFonts w:hint="eastAsia" w:ascii="仿宋_GB2312" w:hAnsi="仿宋" w:eastAsia="仿宋_GB2312" w:cs="宋体"/>
          <w:sz w:val="32"/>
          <w:szCs w:val="32"/>
        </w:rPr>
        <w:t>905万元</w:t>
      </w:r>
      <w:r>
        <w:rPr>
          <w:rFonts w:hint="eastAsia" w:ascii="仿宋_GB2312" w:hAnsi="仿宋" w:eastAsia="仿宋_GB2312" w:cs="DengXian-Regular"/>
          <w:sz w:val="32"/>
          <w:szCs w:val="32"/>
        </w:rPr>
        <w:t>，比年初预算增加6</w:t>
      </w:r>
      <w:r>
        <w:rPr>
          <w:rFonts w:hint="eastAsia" w:ascii="仿宋_GB2312" w:hAnsi="仿宋" w:eastAsia="仿宋_GB2312" w:cs="宋体"/>
          <w:sz w:val="32"/>
          <w:szCs w:val="32"/>
        </w:rPr>
        <w:t>905</w:t>
      </w:r>
      <w:r>
        <w:rPr>
          <w:rFonts w:hint="eastAsia" w:ascii="仿宋_GB2312" w:hAnsi="仿宋" w:eastAsia="仿宋_GB2312" w:cs="DengXian-Regular"/>
          <w:sz w:val="32"/>
          <w:szCs w:val="32"/>
        </w:rPr>
        <w:t>万元，决算数大于预算数主要是专项债务和农村基础实施建设增加。</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宋体" w:hAnsi="宋体" w:cs="宋体"/>
          <w:b/>
          <w:bCs/>
          <w:sz w:val="32"/>
          <w:szCs w:val="32"/>
        </w:rPr>
        <w:t>3.</w:t>
      </w: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hAnsi="仿宋" w:eastAsia="仿宋_GB2312" w:cs="宋体"/>
          <w:sz w:val="32"/>
          <w:szCs w:val="32"/>
        </w:rPr>
      </w:pPr>
      <w:r>
        <w:rPr>
          <w:rFonts w:hint="eastAsia" w:ascii="仿宋_GB2312" w:hAnsi="仿宋" w:eastAsia="仿宋_GB2312" w:cs="DengXian-Regular"/>
          <w:sz w:val="32"/>
          <w:szCs w:val="32"/>
        </w:rPr>
        <w:t>文安县林业局2018 年度财政拨款支出18</w:t>
      </w:r>
      <w:r>
        <w:rPr>
          <w:rFonts w:hint="eastAsia" w:ascii="仿宋_GB2312" w:hAnsi="仿宋" w:eastAsia="仿宋_GB2312" w:cs="宋体"/>
          <w:sz w:val="32"/>
          <w:szCs w:val="32"/>
        </w:rPr>
        <w:t>903.02</w:t>
      </w:r>
      <w:r>
        <w:rPr>
          <w:rFonts w:hint="eastAsia" w:ascii="仿宋_GB2312" w:hAnsi="仿宋" w:eastAsia="仿宋_GB2312" w:cs="DengXian-Regular"/>
          <w:sz w:val="32"/>
          <w:szCs w:val="32"/>
        </w:rPr>
        <w:t>万元，主要用于以下方面：科学技术类支出1万元，占0</w:t>
      </w:r>
      <w:r>
        <w:rPr>
          <w:rFonts w:hint="eastAsia" w:ascii="仿宋_GB2312" w:hAnsi="仿宋" w:eastAsia="仿宋_GB2312" w:cs="宋体"/>
          <w:sz w:val="32"/>
          <w:szCs w:val="32"/>
        </w:rPr>
        <w:t>.01%</w:t>
      </w:r>
      <w:r>
        <w:rPr>
          <w:rFonts w:hint="eastAsia" w:ascii="仿宋_GB2312" w:hAnsi="仿宋" w:eastAsia="仿宋_GB2312" w:cs="DengXian-Regular"/>
          <w:sz w:val="32"/>
          <w:szCs w:val="32"/>
        </w:rPr>
        <w:t>文化教育与传媒支出2</w:t>
      </w:r>
      <w:r>
        <w:rPr>
          <w:rFonts w:hint="eastAsia" w:ascii="仿宋_GB2312" w:hAnsi="仿宋" w:eastAsia="仿宋_GB2312" w:cs="宋体"/>
          <w:sz w:val="32"/>
          <w:szCs w:val="32"/>
        </w:rPr>
        <w:t>47.49</w:t>
      </w:r>
      <w:r>
        <w:rPr>
          <w:rFonts w:hint="eastAsia" w:ascii="仿宋_GB2312" w:hAnsi="仿宋" w:eastAsia="仿宋_GB2312" w:cs="DengXian-Regular"/>
          <w:sz w:val="32"/>
          <w:szCs w:val="32"/>
        </w:rPr>
        <w:t>万元，占1</w:t>
      </w:r>
      <w:r>
        <w:rPr>
          <w:rFonts w:hint="eastAsia" w:ascii="仿宋_GB2312" w:hAnsi="仿宋" w:eastAsia="仿宋_GB2312" w:cs="宋体"/>
          <w:sz w:val="32"/>
          <w:szCs w:val="32"/>
        </w:rPr>
        <w:t>.31</w:t>
      </w:r>
      <w:r>
        <w:rPr>
          <w:rFonts w:hint="eastAsia" w:ascii="仿宋_GB2312" w:hAnsi="仿宋" w:eastAsia="仿宋_GB2312" w:cs="DengXian-Regular"/>
          <w:sz w:val="32"/>
          <w:szCs w:val="32"/>
        </w:rPr>
        <w:t>%；社会保障和就业支出217</w:t>
      </w:r>
      <w:r>
        <w:rPr>
          <w:rFonts w:hint="eastAsia" w:ascii="仿宋_GB2312" w:hAnsi="仿宋" w:eastAsia="仿宋_GB2312" w:cs="宋体"/>
          <w:sz w:val="32"/>
          <w:szCs w:val="32"/>
        </w:rPr>
        <w:t>.92</w:t>
      </w:r>
      <w:r>
        <w:rPr>
          <w:rFonts w:hint="eastAsia" w:ascii="仿宋_GB2312" w:hAnsi="仿宋" w:eastAsia="仿宋_GB2312" w:cs="DengXian-Regular"/>
          <w:sz w:val="32"/>
          <w:szCs w:val="32"/>
        </w:rPr>
        <w:t>万元，占1</w:t>
      </w:r>
      <w:r>
        <w:rPr>
          <w:rFonts w:hint="eastAsia" w:ascii="仿宋_GB2312" w:hAnsi="仿宋" w:eastAsia="仿宋_GB2312" w:cs="宋体"/>
          <w:sz w:val="32"/>
          <w:szCs w:val="32"/>
        </w:rPr>
        <w:t>.15</w:t>
      </w:r>
      <w:r>
        <w:rPr>
          <w:rFonts w:hint="eastAsia" w:ascii="仿宋_GB2312" w:hAnsi="仿宋" w:eastAsia="仿宋_GB2312" w:cs="DengXian-Regular"/>
          <w:sz w:val="32"/>
          <w:szCs w:val="32"/>
        </w:rPr>
        <w:t>%；节能环保支出1</w:t>
      </w:r>
      <w:r>
        <w:rPr>
          <w:rFonts w:hint="eastAsia" w:ascii="仿宋_GB2312" w:hAnsi="仿宋" w:eastAsia="仿宋_GB2312" w:cs="宋体"/>
          <w:sz w:val="32"/>
          <w:szCs w:val="32"/>
        </w:rPr>
        <w:t>44.08</w:t>
      </w:r>
      <w:r>
        <w:rPr>
          <w:rFonts w:hint="eastAsia" w:ascii="仿宋_GB2312" w:hAnsi="仿宋" w:eastAsia="仿宋_GB2312" w:cs="DengXian-Regular"/>
          <w:sz w:val="32"/>
          <w:szCs w:val="32"/>
        </w:rPr>
        <w:t>万元，占0</w:t>
      </w:r>
      <w:r>
        <w:rPr>
          <w:rFonts w:hint="eastAsia" w:ascii="仿宋_GB2312" w:hAnsi="仿宋" w:eastAsia="仿宋_GB2312" w:cs="宋体"/>
          <w:sz w:val="32"/>
          <w:szCs w:val="32"/>
        </w:rPr>
        <w:t>.76</w:t>
      </w:r>
      <w:r>
        <w:rPr>
          <w:rFonts w:hint="eastAsia" w:ascii="仿宋_GB2312" w:hAnsi="仿宋" w:eastAsia="仿宋_GB2312" w:cs="DengXian-Regular"/>
          <w:sz w:val="32"/>
          <w:szCs w:val="32"/>
        </w:rPr>
        <w:t>%；城乡社区支出</w:t>
      </w:r>
      <w:r>
        <w:rPr>
          <w:rFonts w:hint="eastAsia" w:ascii="仿宋_GB2312" w:hAnsi="仿宋" w:eastAsia="仿宋_GB2312" w:cs="宋体"/>
          <w:sz w:val="32"/>
          <w:szCs w:val="32"/>
        </w:rPr>
        <w:t>30</w:t>
      </w:r>
      <w:r>
        <w:rPr>
          <w:rFonts w:hint="eastAsia" w:ascii="仿宋_GB2312" w:hAnsi="仿宋" w:eastAsia="仿宋_GB2312" w:cs="DengXian-Regular"/>
          <w:sz w:val="32"/>
          <w:szCs w:val="32"/>
        </w:rPr>
        <w:t>万元，占0</w:t>
      </w:r>
      <w:r>
        <w:rPr>
          <w:rFonts w:hint="eastAsia" w:ascii="仿宋_GB2312" w:hAnsi="仿宋" w:eastAsia="仿宋_GB2312" w:cs="宋体"/>
          <w:sz w:val="32"/>
          <w:szCs w:val="32"/>
        </w:rPr>
        <w:t>.15</w:t>
      </w:r>
      <w:r>
        <w:rPr>
          <w:rFonts w:hint="eastAsia" w:ascii="仿宋_GB2312" w:hAnsi="仿宋" w:eastAsia="仿宋_GB2312" w:cs="DengXian-Regular"/>
          <w:sz w:val="32"/>
          <w:szCs w:val="32"/>
        </w:rPr>
        <w:t>%；农林水支出182</w:t>
      </w:r>
      <w:r>
        <w:rPr>
          <w:rFonts w:hint="eastAsia" w:ascii="仿宋_GB2312" w:hAnsi="仿宋" w:eastAsia="仿宋_GB2312" w:cs="宋体"/>
          <w:sz w:val="32"/>
          <w:szCs w:val="32"/>
        </w:rPr>
        <w:t>40.54</w:t>
      </w:r>
      <w:r>
        <w:rPr>
          <w:rFonts w:hint="eastAsia" w:ascii="仿宋_GB2312" w:hAnsi="仿宋" w:eastAsia="仿宋_GB2312" w:cs="DengXian-Regular"/>
          <w:sz w:val="32"/>
          <w:szCs w:val="32"/>
        </w:rPr>
        <w:t>万元，占</w:t>
      </w:r>
      <w:r>
        <w:rPr>
          <w:rFonts w:hint="eastAsia" w:ascii="仿宋_GB2312" w:hAnsi="仿宋" w:eastAsia="仿宋_GB2312" w:cs="宋体"/>
          <w:sz w:val="32"/>
          <w:szCs w:val="32"/>
        </w:rPr>
        <w:t>96.5</w:t>
      </w:r>
      <w:r>
        <w:rPr>
          <w:rFonts w:hint="eastAsia" w:ascii="仿宋_GB2312" w:hAnsi="仿宋" w:eastAsia="仿宋_GB2312" w:cs="DengXian-Regular"/>
          <w:sz w:val="32"/>
          <w:szCs w:val="32"/>
        </w:rPr>
        <w:t>%；住房保障支出22万元，占0</w:t>
      </w:r>
      <w:r>
        <w:rPr>
          <w:rFonts w:hint="eastAsia" w:ascii="仿宋_GB2312" w:hAnsi="仿宋" w:eastAsia="仿宋_GB2312" w:cs="宋体"/>
          <w:sz w:val="32"/>
          <w:szCs w:val="32"/>
        </w:rPr>
        <w:t>.12%。</w:t>
      </w:r>
    </w:p>
    <w:p>
      <w:pPr>
        <w:adjustRightInd w:val="0"/>
        <w:snapToGrid w:val="0"/>
        <w:spacing w:after="0" w:line="580" w:lineRule="exact"/>
        <w:ind w:left="420" w:leftChars="200" w:firstLine="161" w:firstLineChars="50"/>
        <w:rPr>
          <w:rFonts w:ascii="楷体_GB2312" w:eastAsia="楷体_GB2312" w:cs="DengXian-Bold"/>
          <w:b/>
          <w:bCs/>
          <w:sz w:val="32"/>
          <w:szCs w:val="32"/>
        </w:rPr>
      </w:pPr>
      <w:r>
        <w:rPr>
          <w:rFonts w:hint="eastAsia" w:ascii="宋体" w:hAnsi="宋体" w:cs="宋体"/>
          <w:b/>
          <w:bCs/>
          <w:sz w:val="32"/>
          <w:szCs w:val="32"/>
        </w:rPr>
        <w:t>4.</w:t>
      </w:r>
      <w:r>
        <w:rPr>
          <w:rFonts w:hint="eastAsia" w:ascii="楷体_GB2312" w:eastAsia="楷体_GB2312" w:cs="DengXian-Bold"/>
          <w:b/>
          <w:bCs/>
          <w:sz w:val="32"/>
          <w:szCs w:val="32"/>
        </w:rPr>
        <w:t>一般公共预算财政拨款基本支出决算情况说明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hAnsi="仿宋" w:eastAsia="仿宋_GB2312" w:cs="DengXian-Regular"/>
          <w:sz w:val="32"/>
          <w:szCs w:val="32"/>
        </w:rPr>
        <w:t>文安县林业局2018 年度一般公共预算财政拨款基本支出1</w:t>
      </w:r>
      <w:r>
        <w:rPr>
          <w:rFonts w:hint="eastAsia" w:ascii="仿宋_GB2312" w:hAnsi="仿宋" w:eastAsia="仿宋_GB2312" w:cs="宋体"/>
          <w:sz w:val="32"/>
          <w:szCs w:val="32"/>
        </w:rPr>
        <w:t>978.95</w:t>
      </w:r>
      <w:r>
        <w:rPr>
          <w:rFonts w:hint="eastAsia" w:ascii="仿宋_GB2312" w:hAnsi="仿宋" w:eastAsia="仿宋_GB2312" w:cs="DengXian-Regular"/>
          <w:sz w:val="32"/>
          <w:szCs w:val="32"/>
        </w:rPr>
        <w:t>万元，其中：人员经费 17</w:t>
      </w:r>
      <w:r>
        <w:rPr>
          <w:rFonts w:hint="eastAsia" w:ascii="仿宋_GB2312" w:hAnsi="仿宋" w:eastAsia="仿宋_GB2312" w:cs="宋体"/>
          <w:sz w:val="32"/>
          <w:szCs w:val="32"/>
        </w:rPr>
        <w:t>47.58</w:t>
      </w:r>
      <w:r>
        <w:rPr>
          <w:rFonts w:hint="eastAsia" w:ascii="仿宋_GB2312" w:hAnsi="仿宋"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w:t>
      </w:r>
      <w:r>
        <w:rPr>
          <w:rFonts w:hint="eastAsia" w:ascii="仿宋_GB2312" w:eastAsia="仿宋_GB2312" w:cs="DengXian-Regular"/>
          <w:sz w:val="32"/>
          <w:szCs w:val="32"/>
        </w:rPr>
        <w:t>经费231</w:t>
      </w:r>
      <w:r>
        <w:rPr>
          <w:rFonts w:hint="eastAsia" w:ascii="仿宋_GB2312" w:hAnsi="宋体" w:eastAsia="仿宋_GB2312" w:cs="宋体"/>
          <w:sz w:val="32"/>
          <w:szCs w:val="32"/>
        </w:rPr>
        <w:t>.37</w:t>
      </w:r>
      <w:r>
        <w:rPr>
          <w:rFonts w:hint="eastAsia" w:ascii="仿宋_GB2312" w:hAnsi="仿宋"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文安县林业局2018年度一般公共预算财政拨款“三公”经费支出共计18万元，</w:t>
      </w:r>
      <w:r>
        <w:rPr>
          <w:rFonts w:hint="eastAsia" w:ascii="仿宋_GB2312" w:eastAsia="仿宋_GB2312"/>
          <w:sz w:val="32"/>
          <w:szCs w:val="32"/>
        </w:rPr>
        <w:t>比年初预算增加0万元，增长0%，主要是与年初预算持平；</w:t>
      </w:r>
      <w:r>
        <w:rPr>
          <w:rFonts w:hint="eastAsia" w:ascii="仿宋_GB2312" w:hAnsi="仿宋" w:eastAsia="仿宋_GB2312"/>
          <w:sz w:val="32"/>
          <w:szCs w:val="32"/>
        </w:rPr>
        <w:t>比2017年度决算增加0.88万元，增长5%，主要是业务量增加。具体情况如下：</w:t>
      </w:r>
    </w:p>
    <w:p>
      <w:pPr>
        <w:adjustRightInd w:val="0"/>
        <w:snapToGrid w:val="0"/>
        <w:spacing w:line="584" w:lineRule="exact"/>
        <w:ind w:firstLine="643" w:firstLineChars="200"/>
        <w:rPr>
          <w:rFonts w:eastAsia="仿宋_GB2312"/>
          <w:sz w:val="32"/>
          <w:szCs w:val="32"/>
          <w:highlight w:val="yellow"/>
        </w:rPr>
      </w:pPr>
      <w:r>
        <w:rPr>
          <w:rFonts w:hint="eastAsia" w:ascii="楷体_GB2312" w:hAnsi="仿宋" w:eastAsia="楷体_GB2312"/>
          <w:b/>
          <w:sz w:val="32"/>
          <w:szCs w:val="32"/>
        </w:rPr>
        <w:t>（一），因公出国（境）费支出为0元</w:t>
      </w:r>
      <w:r>
        <w:rPr>
          <w:rFonts w:hint="eastAsia" w:ascii="仿宋" w:hAnsi="仿宋" w:eastAsia="仿宋"/>
          <w:sz w:val="32"/>
          <w:szCs w:val="32"/>
        </w:rPr>
        <w:t>，</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因公出国（境）团组0个、共0人/参加其他单位组织的因公出国（境）团组0个、共0人/无本单位组织的出国（境）团组。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未发生“因公出国（境）”费用支出</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未发生“因公出国（境）”费用支出</w:t>
      </w:r>
      <w:r>
        <w:rPr>
          <w:rFonts w:eastAsia="仿宋_GB2312"/>
          <w:sz w:val="32"/>
          <w:szCs w:val="32"/>
        </w:rPr>
        <w:t>。</w:t>
      </w:r>
    </w:p>
    <w:p>
      <w:pPr>
        <w:ind w:firstLine="643" w:firstLineChars="200"/>
        <w:rPr>
          <w:rFonts w:hint="eastAsia" w:ascii="仿宋" w:hAnsi="仿宋" w:eastAsia="仿宋" w:cs="仿宋_GB2312"/>
          <w:sz w:val="32"/>
          <w:szCs w:val="32"/>
          <w:shd w:val="clear" w:color="auto" w:fill="FFFFFF"/>
        </w:rPr>
      </w:pPr>
      <w:r>
        <w:rPr>
          <w:rFonts w:hint="eastAsia" w:ascii="楷体_GB2312" w:hAnsi="仿宋" w:eastAsia="楷体_GB2312" w:cs="仿宋_GB2312"/>
          <w:b/>
          <w:sz w:val="32"/>
          <w:szCs w:val="32"/>
          <w:shd w:val="clear" w:color="auto" w:fill="FFFFFF"/>
        </w:rPr>
        <w:t>（二）公务用车购置及运行维护费18万元</w:t>
      </w:r>
      <w:r>
        <w:rPr>
          <w:rFonts w:hint="eastAsia" w:ascii="仿宋" w:hAnsi="仿宋" w:eastAsia="仿宋" w:cs="仿宋_GB2312"/>
          <w:sz w:val="32"/>
          <w:szCs w:val="32"/>
          <w:shd w:val="clear" w:color="auto" w:fill="FFFFFF"/>
        </w:rPr>
        <w:t>。</w:t>
      </w:r>
      <w:r>
        <w:rPr>
          <w:rFonts w:hint="eastAsia" w:ascii="仿宋_GB2312" w:eastAsia="仿宋_GB2312" w:cs="DengXian-Regular"/>
          <w:sz w:val="32"/>
          <w:szCs w:val="32"/>
        </w:rPr>
        <w:t>本部门2018年度公务用车购置及运行维护费比年初预算</w:t>
      </w:r>
      <w:r>
        <w:rPr>
          <w:rFonts w:eastAsia="仿宋_GB2312"/>
          <w:sz w:val="32"/>
          <w:szCs w:val="32"/>
        </w:rPr>
        <w:t>增加</w:t>
      </w:r>
      <w:r>
        <w:rPr>
          <w:rFonts w:hint="eastAsia" w:eastAsia="仿宋_GB2312"/>
          <w:sz w:val="32"/>
          <w:szCs w:val="32"/>
        </w:rPr>
        <w:t>0</w:t>
      </w:r>
      <w:r>
        <w:rPr>
          <w:rFonts w:eastAsia="仿宋_GB2312"/>
          <w:sz w:val="32"/>
          <w:szCs w:val="32"/>
        </w:rPr>
        <w:t>万元</w:t>
      </w:r>
      <w:r>
        <w:rPr>
          <w:rFonts w:hint="eastAsia" w:ascii="仿宋_GB2312" w:eastAsia="仿宋_GB2312" w:cs="DengXian-Regular"/>
          <w:sz w:val="32"/>
          <w:szCs w:val="32"/>
        </w:rPr>
        <w:t>，</w:t>
      </w:r>
      <w:r>
        <w:rPr>
          <w:rFonts w:eastAsia="仿宋_GB2312"/>
          <w:sz w:val="32"/>
          <w:szCs w:val="32"/>
        </w:rPr>
        <w:t>增长</w:t>
      </w:r>
      <w:r>
        <w:rPr>
          <w:rFonts w:hint="eastAsia" w:eastAsia="仿宋_GB2312"/>
          <w:sz w:val="32"/>
          <w:szCs w:val="32"/>
        </w:rPr>
        <w:t>0</w:t>
      </w:r>
      <w:r>
        <w:rPr>
          <w:rFonts w:eastAsia="仿宋_GB2312"/>
          <w:sz w:val="32"/>
          <w:szCs w:val="32"/>
        </w:rPr>
        <w:t>%</w:t>
      </w:r>
      <w:r>
        <w:rPr>
          <w:rFonts w:hint="eastAsia" w:ascii="仿宋_GB2312" w:eastAsia="仿宋_GB2312" w:cs="DengXian-Regular"/>
          <w:sz w:val="32"/>
          <w:szCs w:val="32"/>
        </w:rPr>
        <w:t>,主要是与年初预算持平</w:t>
      </w:r>
      <w:r>
        <w:rPr>
          <w:rFonts w:hint="eastAsia" w:ascii="仿宋_GB2312" w:hAnsi="仿宋" w:eastAsia="仿宋_GB2312" w:cs="仿宋_GB2312"/>
          <w:sz w:val="32"/>
          <w:szCs w:val="32"/>
          <w:shd w:val="clear" w:color="auto" w:fill="FFFFFF"/>
        </w:rPr>
        <w:t>，比2017年决算增加0.92万元，增长5.4%，主要是业务量增加</w:t>
      </w:r>
      <w:r>
        <w:rPr>
          <w:rFonts w:hint="eastAsia" w:ascii="仿宋" w:hAnsi="仿宋" w:eastAsia="仿宋" w:cs="仿宋_GB2312"/>
          <w:sz w:val="32"/>
          <w:szCs w:val="32"/>
          <w:shd w:val="clear" w:color="auto" w:fill="FFFFFF"/>
        </w:rPr>
        <w:t>。</w:t>
      </w:r>
      <w:r>
        <w:rPr>
          <w:rFonts w:hint="eastAsia" w:ascii="楷体_GB2312" w:hAnsi="仿宋" w:eastAsia="楷体_GB2312" w:cs="仿宋_GB2312"/>
          <w:b/>
          <w:sz w:val="32"/>
          <w:szCs w:val="32"/>
          <w:shd w:val="clear" w:color="auto" w:fill="FFFFFF"/>
        </w:rPr>
        <w:t>其中</w:t>
      </w:r>
      <w:r>
        <w:rPr>
          <w:rFonts w:hint="eastAsia" w:ascii="仿宋" w:hAnsi="仿宋" w:eastAsia="仿宋" w:cs="仿宋_GB2312"/>
          <w:sz w:val="32"/>
          <w:szCs w:val="32"/>
          <w:shd w:val="clear" w:color="auto" w:fill="FFFFFF"/>
        </w:rPr>
        <w:t>：</w:t>
      </w:r>
    </w:p>
    <w:p>
      <w:pPr>
        <w:adjustRightInd w:val="0"/>
        <w:snapToGrid w:val="0"/>
        <w:spacing w:line="584" w:lineRule="exact"/>
        <w:ind w:firstLine="643" w:firstLineChars="200"/>
        <w:rPr>
          <w:rFonts w:eastAsia="仿宋_GB2312"/>
          <w:sz w:val="32"/>
          <w:szCs w:val="32"/>
          <w:highlight w:val="yellow"/>
        </w:rPr>
      </w:pPr>
      <w:r>
        <w:rPr>
          <w:rFonts w:hint="eastAsia" w:ascii="楷体_GB2312" w:hAnsi="仿宋" w:eastAsia="楷体_GB2312" w:cs="仿宋_GB2312"/>
          <w:b/>
          <w:sz w:val="32"/>
          <w:szCs w:val="32"/>
          <w:shd w:val="clear" w:color="auto" w:fill="FFFFFF"/>
        </w:rPr>
        <w:t>公务用车购置费支出0万元</w:t>
      </w:r>
      <w:r>
        <w:rPr>
          <w:rFonts w:hint="eastAsia" w:ascii="仿宋" w:hAnsi="仿宋" w:eastAsia="仿宋" w:cs="仿宋_GB2312"/>
          <w:sz w:val="32"/>
          <w:szCs w:val="32"/>
          <w:shd w:val="clear" w:color="auto" w:fill="FFFFFF"/>
        </w:rPr>
        <w:t>。</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未发生“公务用车购置”费用支出</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未发生“公务用车购置”费用支出</w:t>
      </w:r>
      <w:r>
        <w:rPr>
          <w:rFonts w:eastAsia="仿宋_GB2312"/>
          <w:sz w:val="32"/>
          <w:szCs w:val="32"/>
        </w:rPr>
        <w:t>。</w:t>
      </w:r>
    </w:p>
    <w:p>
      <w:pPr>
        <w:adjustRightInd w:val="0"/>
        <w:snapToGrid w:val="0"/>
        <w:spacing w:line="584" w:lineRule="exact"/>
        <w:ind w:firstLine="643" w:firstLineChars="200"/>
        <w:rPr>
          <w:rFonts w:hint="eastAsia" w:ascii="仿宋_GB2312" w:hAnsi="仿宋" w:eastAsia="仿宋_GB2312" w:cs="仿宋_GB2312"/>
          <w:sz w:val="32"/>
          <w:szCs w:val="32"/>
          <w:shd w:val="clear" w:color="auto" w:fill="FFFFFF"/>
        </w:rPr>
      </w:pPr>
      <w:r>
        <w:rPr>
          <w:rFonts w:hint="eastAsia" w:ascii="楷体_GB2312" w:hAnsi="仿宋" w:eastAsia="楷体_GB2312" w:cs="仿宋_GB2312"/>
          <w:b/>
          <w:sz w:val="32"/>
          <w:szCs w:val="32"/>
          <w:shd w:val="clear" w:color="auto" w:fill="FFFFFF"/>
        </w:rPr>
        <w:t>公务用车运行维护费支出18万元。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rPr>
        <w:t>14</w:t>
      </w:r>
      <w:r>
        <w:rPr>
          <w:rFonts w:eastAsia="仿宋_GB2312"/>
          <w:sz w:val="32"/>
          <w:szCs w:val="32"/>
        </w:rPr>
        <w:t>辆。公车运行维护费支出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与年初预算持平</w:t>
      </w:r>
      <w:r>
        <w:rPr>
          <w:rFonts w:eastAsia="仿宋_GB2312"/>
          <w:sz w:val="32"/>
          <w:szCs w:val="32"/>
        </w:rPr>
        <w:t>；</w:t>
      </w:r>
      <w:r>
        <w:rPr>
          <w:rFonts w:hint="eastAsia" w:ascii="仿宋_GB2312" w:hAnsi="仿宋" w:eastAsia="仿宋_GB2312" w:cs="仿宋_GB2312"/>
          <w:sz w:val="32"/>
          <w:szCs w:val="32"/>
          <w:shd w:val="clear" w:color="auto" w:fill="FFFFFF"/>
        </w:rPr>
        <w:t xml:space="preserve">比2017年度决算增加0.92万元，增长5.4%，主要是业务量增加。   </w:t>
      </w:r>
    </w:p>
    <w:p>
      <w:pPr>
        <w:adjustRightInd w:val="0"/>
        <w:snapToGrid w:val="0"/>
        <w:spacing w:line="584" w:lineRule="exact"/>
        <w:ind w:firstLine="643" w:firstLineChars="200"/>
        <w:rPr>
          <w:rFonts w:eastAsia="仿宋_GB2312"/>
          <w:sz w:val="32"/>
          <w:szCs w:val="32"/>
          <w:highlight w:val="yellow"/>
        </w:rPr>
      </w:pPr>
      <w:r>
        <w:rPr>
          <w:rFonts w:hint="eastAsia" w:ascii="楷体_GB2312" w:hAnsi="仿宋" w:eastAsia="楷体_GB2312" w:cs="仿宋_GB2312"/>
          <w:b/>
          <w:sz w:val="32"/>
          <w:szCs w:val="32"/>
          <w:shd w:val="clear" w:color="auto" w:fill="FFFFFF"/>
        </w:rPr>
        <w:t>（三）公务接待费支出0万元</w:t>
      </w:r>
      <w:r>
        <w:rPr>
          <w:rFonts w:hint="eastAsia" w:ascii="仿宋" w:hAnsi="仿宋" w:eastAsia="仿宋" w:cs="仿宋_GB2312"/>
          <w:sz w:val="32"/>
          <w:szCs w:val="32"/>
          <w:shd w:val="clear" w:color="auto" w:fill="FFFFFF"/>
        </w:rPr>
        <w:t>。</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仿宋_GB2312"/>
          <w:sz w:val="32"/>
          <w:szCs w:val="32"/>
        </w:rPr>
        <w:t>0</w:t>
      </w:r>
      <w:r>
        <w:rPr>
          <w:rFonts w:eastAsia="仿宋_GB2312"/>
          <w:sz w:val="32"/>
          <w:szCs w:val="32"/>
        </w:rPr>
        <w:t>批次、</w:t>
      </w:r>
      <w:r>
        <w:rPr>
          <w:rFonts w:hint="eastAsia" w:eastAsia="仿宋_GB2312"/>
          <w:sz w:val="32"/>
          <w:szCs w:val="32"/>
        </w:rPr>
        <w:t>0</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与年初预算持平</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rPr>
        <w:t>0</w:t>
      </w:r>
      <w:r>
        <w:rPr>
          <w:rFonts w:eastAsia="仿宋_GB2312"/>
          <w:sz w:val="32"/>
          <w:szCs w:val="32"/>
        </w:rPr>
        <w:t>万元，增长</w:t>
      </w:r>
      <w:r>
        <w:rPr>
          <w:rFonts w:hint="eastAsia" w:eastAsia="仿宋_GB2312"/>
          <w:sz w:val="32"/>
          <w:szCs w:val="32"/>
        </w:rPr>
        <w:t>0</w:t>
      </w:r>
      <w:r>
        <w:rPr>
          <w:rFonts w:eastAsia="仿宋_GB2312"/>
          <w:sz w:val="32"/>
          <w:szCs w:val="32"/>
        </w:rPr>
        <w:t>%，主要是</w:t>
      </w:r>
      <w:r>
        <w:rPr>
          <w:rFonts w:hint="eastAsia" w:eastAsia="仿宋_GB2312"/>
          <w:sz w:val="32"/>
          <w:szCs w:val="32"/>
        </w:rPr>
        <w:t>与上年决算持平</w:t>
      </w:r>
      <w:r>
        <w:rPr>
          <w:rFonts w:eastAsia="仿宋_GB2312"/>
          <w:sz w:val="32"/>
          <w:szCs w:val="32"/>
        </w:rPr>
        <w:t>。</w:t>
      </w:r>
    </w:p>
    <w:p>
      <w:pPr>
        <w:pStyle w:val="11"/>
        <w:widowControl/>
        <w:shd w:val="clear" w:color="auto" w:fill="FFFFFF"/>
        <w:spacing w:before="0" w:beforeAutospacing="0" w:after="0" w:afterAutospacing="0" w:line="405" w:lineRule="atLeast"/>
        <w:ind w:firstLine="793" w:firstLineChars="248"/>
        <w:rPr>
          <w:rFonts w:ascii="黑体" w:eastAsia="黑体"/>
          <w:sz w:val="32"/>
          <w:szCs w:val="40"/>
        </w:rPr>
      </w:pPr>
      <w:r>
        <w:rPr>
          <w:rFonts w:hint="eastAsia" w:ascii="黑体" w:eastAsia="黑体"/>
          <w:sz w:val="32"/>
          <w:szCs w:val="40"/>
        </w:rPr>
        <w:t>（六）预算绩效情况说明</w:t>
      </w:r>
    </w:p>
    <w:p>
      <w:pPr>
        <w:pStyle w:val="11"/>
        <w:widowControl/>
        <w:shd w:val="clear" w:color="auto" w:fill="FFFFFF"/>
        <w:spacing w:before="0" w:beforeAutospacing="0" w:after="0" w:afterAutospacing="0" w:line="405" w:lineRule="atLeast"/>
        <w:ind w:firstLine="797" w:firstLineChars="248"/>
        <w:rPr>
          <w:rFonts w:ascii="黑体" w:hAnsi="黑体" w:eastAsia="黑体" w:cs="仿宋_GB2312"/>
          <w:b/>
          <w:color w:val="333333"/>
          <w:sz w:val="32"/>
          <w:szCs w:val="32"/>
          <w:shd w:val="clear" w:color="auto" w:fill="FFFFFF"/>
        </w:rPr>
      </w:pPr>
      <w:r>
        <w:rPr>
          <w:rFonts w:hint="eastAsia" w:ascii="黑体" w:hAnsi="黑体" w:eastAsia="黑体" w:cs="仿宋_GB2312"/>
          <w:b/>
          <w:color w:val="333333"/>
          <w:sz w:val="32"/>
          <w:szCs w:val="32"/>
          <w:shd w:val="clear" w:color="auto" w:fill="FFFFFF"/>
        </w:rPr>
        <w:t>总体绩效目标</w:t>
      </w:r>
    </w:p>
    <w:p>
      <w:pPr>
        <w:ind w:firstLine="560"/>
        <w:rPr>
          <w:rFonts w:hint="eastAsia" w:ascii="楷体_GB2312" w:hAnsi="仿宋" w:eastAsia="楷体_GB2312" w:cs="仿宋_GB2312"/>
          <w:b/>
          <w:color w:val="333333"/>
          <w:kern w:val="0"/>
          <w:sz w:val="32"/>
          <w:szCs w:val="32"/>
          <w:shd w:val="clear" w:color="auto" w:fill="FFFFFF"/>
        </w:rPr>
      </w:pPr>
      <w:r>
        <w:rPr>
          <w:rFonts w:hint="eastAsia" w:ascii="楷体_GB2312" w:hAnsi="仿宋" w:eastAsia="楷体_GB2312"/>
          <w:b/>
          <w:sz w:val="28"/>
        </w:rPr>
        <w:t>1．</w:t>
      </w:r>
      <w:r>
        <w:rPr>
          <w:rFonts w:hint="eastAsia" w:ascii="楷体_GB2312" w:hAnsi="仿宋" w:eastAsia="楷体_GB2312" w:cs="仿宋_GB2312"/>
          <w:b/>
          <w:color w:val="333333"/>
          <w:kern w:val="0"/>
          <w:sz w:val="32"/>
          <w:szCs w:val="32"/>
          <w:shd w:val="clear" w:color="auto" w:fill="FFFFFF"/>
        </w:rPr>
        <w:t>保护和建设森林生态系统</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1）林业重点工程建设。以国家、省林业生态工程为带动，重点突破、分区治理、分步实施、整体推进。三北防护林建设工程，坚持因地制宜，因害设防，以防风固沙林、河渠路堤防护林、农田防护林、新农村绿化建设为重点，构建多林种、多树种、多层次、多色彩的高标准绿化格局，建成不同功能的生态防护林体系；退耕还林建设工程，以后续产业项目带动为重点，发展推行林草、林下养殖等，严格执行《退耕还林条例》，落实对退耕农民的有关补助政策；通道绿化工程以县级以上公路、高速公路、铁路、县际结合部、主要河渠两侧绿化为重点，提高绿化档次，合理配置绿化景观，实现良好的整体衔接。</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2）城镇村庄绿化。突出抓好环城、环乡镇、环村街绿化和城镇街道、路口、广场、小区、单位绿化。“三环”绿化要因地制宜，宜宽则宽，宜窄则窄，实行乔、灌、果、花相结合，追求绿化布局的自然化，景观配置的最佳化，防护效能的最大化；县城建成区要建设一批高档次、高品位、独具特色、文化底蕴丰富的城镇公园、游园、景点、景区。要见缝插绿，拆墙透绿，立体植绿，大幅度提高城镇绿化覆盖率，增加人均公共绿地面积；要加大县城规划区内城乡结合部、城中村的造林绿化力度，营造大面积生态防护林、景观林、经济林，提高郊区森林覆盖率；村庄绿化要以“四旁”植树为重点，大力发展立体庭院经济，提高村庄绿化率。</w:t>
      </w:r>
    </w:p>
    <w:p>
      <w:pPr>
        <w:ind w:left="559" w:leftChars="266"/>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 xml:space="preserve">（3）为建成赵王新河湿地公园做好各项基础工作。      </w:t>
      </w:r>
    </w:p>
    <w:p>
      <w:pPr>
        <w:ind w:left="559" w:leftChars="266"/>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 xml:space="preserve">   2.加快现代林业产业发展</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(1)科学确立现代化森林产业发展格局。加快布局优化和结构调整，引导和促进资源、资金等产业要素向优势企业集中，优势企业向产业园区集中。大力促进林产加工企业技术更新和设备改造，发展鼓励类、控制限制类、改造允许类、禁止淘汰类，加快产品升级换代和专业化生产进程，减少盲目投资和低水平重复建设。推动林业产业由单纯的数量增长和规模扩张向数量、质量、效益并重，逐步形成富有市场竞争力、高效、结构合理的林业产业发展新格局，满足社会经济发展对林产品与服务的需求，促进社会主义新农村建设。</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(2)继续抓好商品林基地建设。以现有中幼林抚育为重点，造林、抚育、采伐、利用相结合。造林以“三荒地”、次耕地、废弃地、采伐迹地为重点，继续增加林地规模；要实行集约化经营，落实各项抚育措施，加快林木的速生丰产；要根据不同的培育目的，制定科学的采伐计划，永续利用；要面向人造板市场定向培育，创造最大的经济效益，强力拉动当地经济发展。</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(3)着力推进果品业上档升级。以果品内部结构调整和无公害果品生产为重点，积极引进名特优新品种，改造劣质低效果园，推广标准化无公害生产技术，抓好优质果品生产基地建设，即以辛庄管区主导的葡萄生产基地、兴隆宫镇为主导的苹果、梨生产基地，史各庄镇的热杂果基地等重点建设，规范无公害果品的生产。积极发展果品贮藏加工业，进一步促进果品产业化。</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 xml:space="preserve">(4)大力发展木材加工业。加快林板一体化进程，构建“龙头带基地，基地连农户”的产业化经营格局，把木材加工业发展成为我县实力雄厚的支柱产业；依托左各庄新型环保科技园区，积极引导，通过实施机制创新和科技创新，实现企业的上档升级。培育一批龙头企业和拳头产品，扩大知名度和影响力，积极扶持文安县天华密度板厂等重点龙头企业的发展。 </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3.加强森林资源保护和林业服务体系建设</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(1)落实执法主体和执法责任制。林业主管部门是林业法律法规的执法主体。林业主管部门要坚持依法行政，加强综合执法和执法监督，加大违法案件的查处力度，制定和落实林业执法责任制、错案和执法过错责任追究制。人民法院、人民检察院、人民公安等司法部门要与林业部门密切协作，配合林业部门严厉打击林业各种违法犯罪活动。</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(2)加大林业执法力度。我县行政区域内的森林资源按照林区的有关规定进行管理。严厉打击乱砍滥伐、盗伐林木、人为损坏幼树、牲畜啃咬幼树、乱垦滥占林地、乱捕滥猎野生动物等违法犯罪活动。认真落实县政府森林防火行政领导负责制，建立健全森林火灾预防、监测、扑救、预警和指挥系统，建立快速反应机制；要加强防火宣传，搞好林地卫生，禁止在林地堆放、焚烧秸秆；火灾高险期，林业、公安等部门要巡回检查，严密监视，发现火情立即组织扑救，并上报县人民政府。加强林木采伐管理、木材运输和木材经营加工的管理，规范木材市场经营秩序，坚决依法取缔各种林木和野生动植物非法交易市场。加强野生动植物管理体系建设，严格森林及野生动植物资源管理，切实保护生物多样性。</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(3)强化病虫害防治、检疫。要高度重视森林病虫害防治检疫工作，把防治检疫作为保护我县森林资源的重要举措；要逐年加大投入力度，确保病虫害能够得到及时有效除治；坚持“预防为主，综合治理”的方针，建立健全病虫害预测预报、检疫和除治体系建设，加强入境林果产品检验检疫工作，防止有害生物入侵；对危害大、影响面广的重点病虫害积极开展工程治理，采取飞防等现代化防治手段，提高病虫害的现代化防治水平。</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(4)严禁非法征占用林地。政府在编制土地利用总体规划时，要根据国民经济和社会发展对生态建设的要求和当地林业发展规划，合理安排林业发展用地；对道路建设、项目工程、水利电力工程等确需征占用林地的，按法定程序逐级上报审批，未经法定程序批准，不得随意将林地改变用途。</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 xml:space="preserve">(5) 加强野生动物疫源疫病监测体系建设 </w:t>
      </w:r>
    </w:p>
    <w:p>
      <w:pPr>
        <w:ind w:firstLine="560"/>
        <w:rPr>
          <w:rFonts w:hint="eastAsia" w:ascii="仿宋_GB2312" w:hAnsi="仿宋" w:eastAsia="仿宋_GB2312" w:cs="仿宋_GB2312"/>
          <w:color w:val="333333"/>
          <w:kern w:val="0"/>
          <w:sz w:val="32"/>
          <w:szCs w:val="32"/>
          <w:shd w:val="clear" w:color="auto" w:fill="FFFFFF"/>
        </w:rPr>
      </w:pPr>
      <w:r>
        <w:rPr>
          <w:rFonts w:hint="eastAsia" w:ascii="仿宋_GB2312" w:hAnsi="仿宋" w:eastAsia="仿宋_GB2312" w:cs="仿宋_GB2312"/>
          <w:color w:val="333333"/>
          <w:kern w:val="0"/>
          <w:sz w:val="32"/>
          <w:szCs w:val="32"/>
          <w:shd w:val="clear" w:color="auto" w:fill="FFFFFF"/>
        </w:rPr>
        <w:t>加强野生动物疫源疫病监测，有效地预防、控制野生动物疫病，保障国民经济可持续发展和维护公共卫生安全。与卫生、畜牧等部门加强协调与合作，开展疫源疫病监测与防控培训，提高应对突发性野生动物疫情的防控能力。强化重点区域、野生动物疫源疫病多发区域、候鸟迁徙通道、野生动物集中分布区域、野生动物繁育基地等单位驯养繁殖的防疫措施进行检查，严防珍稀濒危动物感染。</w:t>
      </w:r>
    </w:p>
    <w:p>
      <w:pPr>
        <w:spacing w:line="580" w:lineRule="exact"/>
        <w:rPr>
          <w:rFonts w:hint="eastAsia" w:ascii="楷体_GB2312" w:hAnsi="仿宋" w:eastAsia="楷体_GB2312" w:cs="楷体"/>
          <w:b/>
          <w:sz w:val="32"/>
          <w:szCs w:val="32"/>
        </w:rPr>
      </w:pPr>
      <w:r>
        <w:rPr>
          <w:rFonts w:hint="eastAsia" w:ascii="仿宋" w:hAnsi="仿宋" w:eastAsia="仿宋" w:cs="仿宋_GB2312"/>
          <w:sz w:val="32"/>
          <w:szCs w:val="32"/>
        </w:rPr>
        <w:t xml:space="preserve">    </w:t>
      </w:r>
      <w:r>
        <w:rPr>
          <w:rFonts w:hint="eastAsia" w:ascii="楷体_GB2312" w:hAnsi="仿宋" w:eastAsia="楷体_GB2312" w:cs="楷体"/>
          <w:b/>
          <w:sz w:val="32"/>
          <w:szCs w:val="32"/>
        </w:rPr>
        <w:t>绩效管理工作展开情况</w:t>
      </w:r>
    </w:p>
    <w:p>
      <w:pPr>
        <w:spacing w:line="580" w:lineRule="exact"/>
        <w:ind w:firstLine="640" w:firstLineChars="200"/>
        <w:rPr>
          <w:rFonts w:hint="eastAsia" w:ascii="仿宋_GB2312" w:hAnsi="仿宋" w:eastAsia="仿宋_GB2312" w:cs="楷体"/>
          <w:sz w:val="32"/>
          <w:szCs w:val="32"/>
        </w:rPr>
      </w:pPr>
      <w:r>
        <w:rPr>
          <w:rFonts w:hint="eastAsia" w:ascii="仿宋" w:hAnsi="仿宋" w:eastAsia="仿宋" w:cs="仿宋_GB2312"/>
          <w:sz w:val="32"/>
          <w:szCs w:val="32"/>
        </w:rPr>
        <w:t xml:space="preserve">  </w:t>
      </w:r>
      <w:r>
        <w:rPr>
          <w:rFonts w:hint="eastAsia" w:ascii="仿宋_GB2312" w:hAnsi="仿宋" w:eastAsia="仿宋_GB2312" w:cs="仿宋_GB2312"/>
          <w:sz w:val="32"/>
          <w:szCs w:val="32"/>
        </w:rPr>
        <w:t xml:space="preserve"> </w:t>
      </w:r>
      <w:r>
        <w:rPr>
          <w:rFonts w:hint="eastAsia" w:ascii="仿宋_GB2312" w:hAnsi="仿宋" w:eastAsia="仿宋_GB2312" w:cs="楷体"/>
          <w:sz w:val="32"/>
          <w:szCs w:val="32"/>
        </w:rPr>
        <w:t>本部门依据2018年预算情况对各决算项目认真开展了绩效评价工作。本部门预算项目取得了良好的经济效益、社会效益和环境效益，减少了资金使用管理中的损失浪费现象，使资金达到合理、优化配给。本部门不断强化评价结果的应用，建立预算绩效与预算安排挂钩机制，将预算项目、工作活动及综合绩效评价结果作为安排项目资金的重要依据。</w:t>
      </w:r>
    </w:p>
    <w:p>
      <w:pPr>
        <w:spacing w:line="580" w:lineRule="exact"/>
        <w:ind w:firstLine="630"/>
        <w:rPr>
          <w:rFonts w:ascii="黑体" w:hAnsi="黑体" w:eastAsia="黑体" w:cs="楷体"/>
          <w:sz w:val="32"/>
          <w:szCs w:val="32"/>
        </w:rPr>
      </w:pPr>
      <w:r>
        <w:rPr>
          <w:rFonts w:hint="eastAsia" w:ascii="黑体" w:hAnsi="黑体" w:eastAsia="黑体" w:cs="楷体"/>
          <w:sz w:val="32"/>
          <w:szCs w:val="32"/>
        </w:rPr>
        <w:t>预算项目绩效评价开展情况</w:t>
      </w:r>
    </w:p>
    <w:p>
      <w:pPr>
        <w:spacing w:line="580" w:lineRule="exact"/>
        <w:ind w:firstLine="630"/>
        <w:rPr>
          <w:rFonts w:ascii="仿宋" w:hAnsi="仿宋" w:eastAsia="仿宋" w:cs="楷体"/>
          <w:b/>
          <w:sz w:val="32"/>
          <w:szCs w:val="32"/>
        </w:rPr>
      </w:pPr>
      <w:r>
        <w:rPr>
          <w:rFonts w:hint="eastAsia" w:ascii="仿宋" w:hAnsi="仿宋" w:eastAsia="仿宋" w:cs="楷体"/>
          <w:b/>
          <w:sz w:val="32"/>
          <w:szCs w:val="32"/>
        </w:rPr>
        <w:t>1</w:t>
      </w:r>
      <w:r>
        <w:rPr>
          <w:rFonts w:hint="eastAsia" w:ascii="楷体_GB2312" w:hAnsi="仿宋" w:eastAsia="楷体_GB2312" w:cs="楷体"/>
          <w:b/>
          <w:sz w:val="32"/>
          <w:szCs w:val="32"/>
        </w:rPr>
        <w:t>、预算项目绩效评价的组织与实施</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（1）绩效评价的工作组织</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为加强财政性发展专项资金项目绩效评价工作，本部门成立财政资金绩效评价工作小组，由财务部门及单位相关负责同志为成员。工作小组办公室设在财务室，负责制定绩效评价工作实施方案，组织协调相关工作。</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（2）评价范围</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2018年度财政预算安排项目，县政府确定的县重点工程。</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（3）绩效评价标准和评价方法</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根据文安县财政局《关于做好部门绩效评价工作的通知》开展2018年度预算项目绩效评价工作。通过对照编制项目绩效预算计划中确定的绩效目标和指标进行评价，动态监管各项资金支出和项目执行，分析绩效指标运行状态，确定的绩效目标的实现程度。</w:t>
      </w:r>
    </w:p>
    <w:p>
      <w:pPr>
        <w:spacing w:line="580" w:lineRule="exact"/>
        <w:ind w:firstLine="630"/>
        <w:rPr>
          <w:rFonts w:ascii="仿宋" w:hAnsi="仿宋" w:eastAsia="仿宋" w:cs="楷体"/>
          <w:b/>
          <w:sz w:val="32"/>
          <w:szCs w:val="32"/>
        </w:rPr>
      </w:pPr>
      <w:r>
        <w:rPr>
          <w:rFonts w:hint="eastAsia" w:ascii="仿宋" w:hAnsi="仿宋" w:eastAsia="仿宋" w:cs="楷体"/>
          <w:b/>
          <w:sz w:val="32"/>
          <w:szCs w:val="32"/>
        </w:rPr>
        <w:t>2、</w:t>
      </w:r>
      <w:r>
        <w:rPr>
          <w:rFonts w:hint="eastAsia" w:ascii="楷体_GB2312" w:hAnsi="仿宋" w:eastAsia="楷体_GB2312" w:cs="楷体"/>
          <w:b/>
          <w:sz w:val="32"/>
          <w:szCs w:val="32"/>
        </w:rPr>
        <w:t>部门综合绩效评价结论</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 xml:space="preserve">  绩效预算</w:t>
      </w:r>
      <w:bookmarkStart w:id="0" w:name="_Toc407801290"/>
      <w:r>
        <w:rPr>
          <w:rFonts w:hint="eastAsia" w:ascii="仿宋_GB2312" w:hAnsi="仿宋" w:eastAsia="仿宋_GB2312" w:cs="楷体"/>
          <w:sz w:val="32"/>
          <w:szCs w:val="32"/>
        </w:rPr>
        <w:t>部门职责-工作活动绩效目标</w:t>
      </w:r>
      <w:bookmarkEnd w:id="0"/>
      <w:r>
        <w:rPr>
          <w:rFonts w:hint="eastAsia" w:ascii="仿宋_GB2312" w:hAnsi="仿宋" w:eastAsia="仿宋_GB2312" w:cs="楷体"/>
          <w:sz w:val="32"/>
          <w:szCs w:val="32"/>
        </w:rPr>
        <w:t>完成情况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（1）完成省市下达和县委县政府制定的造林任务及全县森林覆盖率考核目标。有效改善生态环境。</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（2）增加有林地面积，提高全县绿化水平和森林覆盖率，改善生态环境。</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（3）提高森林质量，促进林业持续发展</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（4）工程治理地区的生态状况得到明显改善。</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（5）沙化土地得以治理，重点治理区生态状况明显改善。</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（6）加大森林资源保护力度，促进全县生态环境进一步改善</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（7）加强林业自然保护区、森林公园管理、加强湿地保护恢复。</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（8）推进林果产业标准化生产，改善品种，调整结构，提升品质和产量，提升经济效益。</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（9）促进全县果品基地建设提档升级，全面提高果品质量安全水平</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（10）提高我县苗木和花卉产业的整体水平。</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（11）提高我县林业产业的整体水平。</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（12）示范推广林业生产管理的良种、良法，提高林产品品质和经济效益。</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（13）提高林木种苗质量，保障林木良种供应，加快林木良种推广步伐</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（14）增加林业发展活力，促进林业持续发展</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（15）预防和减少自然灾害对森林资源的损失，保护森林资源</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（16）加强野生动植物保护和陆生野生动物疫源疫病监测防控，保障生态安全。</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（17）发挥科技成果的示范带动作用，完善基层推广体系。</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（18）保障林产品、果品质量安全</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（19）提高森林公安队伍执法能力，减少林区案件发生、保护森林及野生动物资源。</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（20）改善国有林场和基层林业单位的基础设施，缓解国有林场经济危困，保障林业健康发展。</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（21）监管全县林地、林权和森林资源，提高林业资源资产安全性、完整性和使用效益。</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（22）依法依规完成工作任务，确保机关业务正常运行，提高业务工作效率。</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（23）确保机关正常运行，提高业务工作效率。</w:t>
      </w:r>
    </w:p>
    <w:p>
      <w:pPr>
        <w:spacing w:line="580" w:lineRule="exact"/>
        <w:ind w:firstLine="630"/>
        <w:rPr>
          <w:rFonts w:ascii="黑体" w:hAnsi="黑体" w:eastAsia="黑体" w:cs="楷体"/>
          <w:sz w:val="32"/>
          <w:szCs w:val="32"/>
        </w:rPr>
      </w:pPr>
      <w:r>
        <w:rPr>
          <w:rFonts w:hint="eastAsia" w:ascii="黑体" w:hAnsi="黑体" w:eastAsia="黑体" w:cs="楷体"/>
          <w:sz w:val="32"/>
          <w:szCs w:val="32"/>
        </w:rPr>
        <w:t>预算项目绩效自评选例</w:t>
      </w:r>
    </w:p>
    <w:p>
      <w:pPr>
        <w:spacing w:line="580" w:lineRule="exact"/>
        <w:ind w:firstLine="640" w:firstLineChars="200"/>
        <w:rPr>
          <w:rFonts w:hint="eastAsia" w:ascii="仿宋_GB2312" w:hAnsi="仿宋" w:eastAsia="仿宋_GB2312" w:cs="楷体"/>
          <w:sz w:val="32"/>
          <w:szCs w:val="32"/>
        </w:rPr>
      </w:pPr>
      <w:r>
        <w:rPr>
          <w:rFonts w:hint="eastAsia" w:ascii="仿宋_GB2312" w:hAnsi="仿宋" w:eastAsia="仿宋_GB2312" w:cs="楷体"/>
          <w:sz w:val="32"/>
          <w:szCs w:val="32"/>
        </w:rPr>
        <w:t>一、项目概况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 xml:space="preserve"> (一) 有害生物防治经费</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近年来，随着生态建设的需要，全县林业有了较快的发展，造林面积逐年增加。但是，随之而来的林业有害生物灾害日趋严重。造成有害生物种类增加，发生面积扩大，危害严重。从调查结果看，全县林业有害生物发生危害比较严重，一是常发性食叶害虫春尺蠖、杨小舟蛾、杨扇舟蛾、国槐尺蠖、悬铃木方翅网蝽等总体上升，呈多点爆发，局部成灾的态势，二是危险性有害生物如美国白蛾仍呈扩散蔓延趋势。直接影响了我县林业的发展和林农利益。</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(二)项目资金细化分配情况.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结合2017年实际发生情况，预计2018年我县林业有害生物发生面积为20万亩左右，呈现出高发态势，防治形势十分严峻。为了坚决遏制林业有害生物灾害的发生，保护我县林业生态安全，促进社会经济的可持续发展，特申请2018年林业有害生物防治经费100万元。</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二、春尺蠖、美国白蛾防治资金预算</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（一）、发生及防治的基本情况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根据县林业局调查，结合2018年春尺蠖发生以及林地增长和分布情况，预计2019年春尺蠖发生面积约为8万亩，计划飞防作业面积8万亩。</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（二）、所需资金预算</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1、飞机租赁费：飞机租赁费按每架次0.3万元，飞防作业550架次计算，共需资金165万元。</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2、购置农药费：每亩地需用苦参碱药剂50克，550架次共需药剂13.75吨，每吨药剂4.6万元，共需资金63.25万元。</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三、防效勘察资金预算。</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为确保飞防效果，我们将聘请第三方对飞防面积及药效进行检查验收，预计勘察费用5万元。</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项目政策依据.依据县政府的相关规定对2018年有害生物进行防治。</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四、项目绩效目标和绩效指标设定情况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控制危害程度，压缩发生范围，主要风景名胜区、交通要到两侧及重大活动场所周边等关键部位，平均寄主叶片保存率不低于85%。</w:t>
      </w:r>
    </w:p>
    <w:p>
      <w:pPr>
        <w:spacing w:line="580" w:lineRule="exact"/>
        <w:ind w:firstLine="630"/>
        <w:rPr>
          <w:rFonts w:hint="eastAsia" w:ascii="楷体_GB2312" w:hAnsi="仿宋" w:eastAsia="楷体_GB2312" w:cs="楷体"/>
          <w:b/>
          <w:sz w:val="32"/>
          <w:szCs w:val="32"/>
        </w:rPr>
      </w:pPr>
      <w:r>
        <w:rPr>
          <w:rFonts w:hint="eastAsia" w:ascii="楷体_GB2312" w:hAnsi="仿宋" w:eastAsia="楷体_GB2312" w:cs="楷体"/>
          <w:b/>
          <w:sz w:val="32"/>
          <w:szCs w:val="32"/>
        </w:rPr>
        <w:t>五、绩效评价组织情况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绩效评价目的.：全县计划飞防作业架次550，实际飞防250架次，其中春尺蠖飞防100架次，飞防作业面积6万亩，市林业局支持2万亩。美国白蛾第一代飞防150架次，作业面积9万亩，市林业局支持3万亩。</w:t>
      </w:r>
    </w:p>
    <w:p>
      <w:pPr>
        <w:spacing w:line="580" w:lineRule="exact"/>
        <w:ind w:firstLine="630"/>
        <w:rPr>
          <w:rFonts w:hint="eastAsia" w:ascii="楷体_GB2312" w:hAnsi="仿宋" w:eastAsia="楷体_GB2312" w:cs="楷体"/>
          <w:b/>
          <w:sz w:val="32"/>
          <w:szCs w:val="32"/>
        </w:rPr>
      </w:pPr>
      <w:r>
        <w:rPr>
          <w:rFonts w:hint="eastAsia" w:ascii="楷体_GB2312" w:hAnsi="仿宋" w:eastAsia="楷体_GB2312" w:cs="楷体"/>
          <w:b/>
          <w:sz w:val="32"/>
          <w:szCs w:val="32"/>
        </w:rPr>
        <w:t>六、绩效评价指标分析情况</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林业有害生物美国白蛾是一种严重危害农林植物的食叶害虫，被列为世界性检疫对象，具有食性杂、取食量大，繁殖力强、适应性强等特点，同时具有“一年轻、二年蓄势、三年爆发”的生物学特性。如果防治不彻底，哪怕是漏掉几条幼虫，经过1-2年的繁殖，很快又泛滥成灾。通过防治能有效的控制病虫害的发生。</w:t>
      </w:r>
    </w:p>
    <w:p>
      <w:pPr>
        <w:spacing w:line="580" w:lineRule="exact"/>
        <w:ind w:firstLine="630"/>
        <w:rPr>
          <w:rFonts w:hint="eastAsia" w:ascii="楷体_GB2312" w:hAnsi="仿宋" w:eastAsia="楷体_GB2312" w:cs="楷体"/>
          <w:b/>
          <w:sz w:val="32"/>
          <w:szCs w:val="32"/>
        </w:rPr>
      </w:pPr>
      <w:r>
        <w:rPr>
          <w:rFonts w:hint="eastAsia" w:ascii="楷体_GB2312" w:hAnsi="仿宋" w:eastAsia="楷体_GB2312" w:cs="楷体"/>
          <w:b/>
          <w:sz w:val="32"/>
          <w:szCs w:val="32"/>
        </w:rPr>
        <w:t>七、项目综合评价等级和评价结论</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(一)产出招标：1工程前期手续，编制飞防实施方案和工程招标已全部完成，绩效指标评价为优。2工程完成情况，全县完成春尺蠖，美国白蛾防治作业面积20万亩。已全部完成，绩效指标评价为优。</w:t>
      </w:r>
    </w:p>
    <w:p>
      <w:pPr>
        <w:spacing w:line="580" w:lineRule="exact"/>
        <w:ind w:firstLine="630"/>
        <w:rPr>
          <w:rFonts w:hint="eastAsia" w:ascii="仿宋_GB2312" w:hAnsi="仿宋" w:eastAsia="仿宋_GB2312" w:cs="楷体"/>
          <w:sz w:val="32"/>
          <w:szCs w:val="32"/>
        </w:rPr>
      </w:pPr>
      <w:r>
        <w:rPr>
          <w:rFonts w:hint="eastAsia" w:ascii="仿宋_GB2312" w:hAnsi="仿宋" w:eastAsia="仿宋_GB2312" w:cs="楷体"/>
          <w:sz w:val="32"/>
          <w:szCs w:val="32"/>
        </w:rPr>
        <w:t>(二) 效果指标：降低虫口密度和危害程度，完成国家省、市下达的防控任务目标。已全部完成任务，绩效指标评价为优。</w:t>
      </w:r>
    </w:p>
    <w:p>
      <w:pPr>
        <w:pStyle w:val="3"/>
        <w:spacing w:before="0" w:after="0" w:line="580" w:lineRule="exact"/>
        <w:ind w:firstLine="320" w:firstLineChars="1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1</w:t>
      </w:r>
      <w:r>
        <w:rPr>
          <w:rFonts w:hint="eastAsia" w:ascii="宋体" w:hAnsi="宋体" w:cs="宋体"/>
        </w:rPr>
        <w:t>.</w:t>
      </w:r>
      <w:r>
        <w:rPr>
          <w:rFonts w:hint="eastAsia" w:ascii="楷体_GB2312" w:eastAsia="楷体_GB2312" w:cs="DengXian-Bold"/>
        </w:rPr>
        <w:t>机关运行经费情况</w:t>
      </w:r>
    </w:p>
    <w:p>
      <w:pPr>
        <w:pStyle w:val="11"/>
        <w:widowControl/>
        <w:shd w:val="clear" w:color="auto" w:fill="FFFFFF"/>
        <w:spacing w:before="0" w:beforeAutospacing="0" w:after="0" w:afterAutospacing="0" w:line="405" w:lineRule="atLeast"/>
        <w:ind w:firstLine="645"/>
        <w:rPr>
          <w:rFonts w:hint="eastAsia" w:ascii="仿宋_GB2312" w:hAnsi="仿宋" w:eastAsia="仿宋_GB2312" w:cs="仿宋_GB2312"/>
          <w:color w:val="333333"/>
          <w:sz w:val="32"/>
          <w:szCs w:val="32"/>
          <w:shd w:val="clear" w:color="auto" w:fill="FFFFFF"/>
        </w:rPr>
      </w:pPr>
      <w:r>
        <w:rPr>
          <w:rFonts w:hint="eastAsia" w:ascii="仿宋_GB2312" w:hAnsi="仿宋" w:eastAsia="仿宋_GB2312" w:cs="DengXian-Regular"/>
          <w:sz w:val="32"/>
          <w:szCs w:val="32"/>
        </w:rPr>
        <w:t>文安</w:t>
      </w:r>
      <w:r>
        <w:rPr>
          <w:rFonts w:hint="eastAsia" w:ascii="仿宋_GB2312" w:hAnsi="仿宋" w:eastAsia="仿宋_GB2312" w:cs="宋体"/>
          <w:sz w:val="32"/>
          <w:szCs w:val="32"/>
        </w:rPr>
        <w:t>县林业局</w:t>
      </w:r>
      <w:r>
        <w:rPr>
          <w:rFonts w:hint="eastAsia" w:ascii="仿宋_GB2312" w:hAnsi="仿宋" w:eastAsia="仿宋_GB2312" w:cs="DengXian-Regular"/>
          <w:sz w:val="32"/>
          <w:szCs w:val="32"/>
        </w:rPr>
        <w:t>2018年度机关运行经费支出231</w:t>
      </w:r>
      <w:r>
        <w:rPr>
          <w:rFonts w:hint="eastAsia" w:ascii="仿宋_GB2312" w:hAnsi="仿宋" w:eastAsia="仿宋_GB2312" w:cs="宋体"/>
          <w:sz w:val="32"/>
          <w:szCs w:val="32"/>
        </w:rPr>
        <w:t>.37</w:t>
      </w:r>
      <w:r>
        <w:rPr>
          <w:rFonts w:hint="eastAsia" w:ascii="仿宋_GB2312" w:hAnsi="仿宋" w:eastAsia="仿宋_GB2312" w:cs="DengXian-Regular"/>
          <w:sz w:val="32"/>
          <w:szCs w:val="32"/>
        </w:rPr>
        <w:t>万元，比年初预算数增加</w:t>
      </w:r>
      <w:r>
        <w:rPr>
          <w:rFonts w:hint="eastAsia" w:ascii="仿宋_GB2312" w:hAnsi="仿宋" w:eastAsia="仿宋_GB2312"/>
          <w:sz w:val="32"/>
          <w:szCs w:val="32"/>
        </w:rPr>
        <w:t>185.05</w:t>
      </w:r>
      <w:r>
        <w:rPr>
          <w:rFonts w:hint="eastAsia" w:ascii="仿宋_GB2312" w:hAnsi="仿宋" w:eastAsia="仿宋_GB2312" w:cs="DengXian-Regular"/>
          <w:sz w:val="32"/>
          <w:szCs w:val="32"/>
        </w:rPr>
        <w:t>万元，增长3</w:t>
      </w:r>
      <w:r>
        <w:rPr>
          <w:rFonts w:hint="eastAsia" w:ascii="仿宋_GB2312" w:hAnsi="仿宋" w:eastAsia="仿宋_GB2312" w:cs="宋体"/>
          <w:sz w:val="32"/>
          <w:szCs w:val="32"/>
        </w:rPr>
        <w:t>99.50</w:t>
      </w:r>
      <w:r>
        <w:rPr>
          <w:rFonts w:hint="eastAsia" w:ascii="仿宋_GB2312" w:hAnsi="仿宋" w:eastAsia="仿宋_GB2312"/>
          <w:sz w:val="32"/>
          <w:szCs w:val="32"/>
        </w:rPr>
        <w:t>%</w:t>
      </w:r>
      <w:r>
        <w:rPr>
          <w:rFonts w:hint="eastAsia" w:ascii="仿宋_GB2312" w:hAnsi="仿宋" w:eastAsia="仿宋_GB2312" w:cs="DengXian-Regular"/>
          <w:sz w:val="32"/>
          <w:szCs w:val="32"/>
        </w:rPr>
        <w:t>。</w:t>
      </w:r>
      <w:r>
        <w:rPr>
          <w:rFonts w:hint="eastAsia" w:ascii="仿宋_GB2312" w:hAnsi="仿宋" w:eastAsia="仿宋_GB2312"/>
          <w:sz w:val="32"/>
          <w:szCs w:val="32"/>
        </w:rPr>
        <w:t>较2017年度决算增加13.39万元，增长6.14%，主要是</w:t>
      </w:r>
      <w:r>
        <w:rPr>
          <w:rFonts w:hint="eastAsia" w:ascii="仿宋_GB2312" w:hAnsi="仿宋" w:eastAsia="仿宋_GB2312" w:cs="仿宋_GB2312"/>
          <w:color w:val="333333"/>
          <w:sz w:val="32"/>
          <w:szCs w:val="32"/>
          <w:shd w:val="clear" w:color="auto" w:fill="FFFFFF"/>
        </w:rPr>
        <w:t>原因是机关事务增加。主要用于我单位办公区的日常维修、办公用房水电费、办公用房取暖费、办公用房物业管理费等日常运行支出。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2</w:t>
      </w:r>
      <w:r>
        <w:rPr>
          <w:rFonts w:hint="eastAsia" w:ascii="宋体" w:hAnsi="宋体" w:cs="宋体"/>
        </w:rPr>
        <w:t>.</w:t>
      </w:r>
      <w:r>
        <w:rPr>
          <w:rFonts w:hint="eastAsia" w:ascii="楷体_GB2312" w:eastAsia="楷体_GB2312" w:cs="DengXian-Bold"/>
        </w:rPr>
        <w:t>政府采购情况</w:t>
      </w:r>
    </w:p>
    <w:p>
      <w:pPr>
        <w:widowControl/>
        <w:spacing w:after="0" w:line="580" w:lineRule="exact"/>
        <w:ind w:firstLine="640" w:firstLineChars="200"/>
        <w:jc w:val="left"/>
        <w:rPr>
          <w:rFonts w:hint="eastAsia" w:ascii="仿宋_GB2312" w:hAnsi="仿宋" w:eastAsia="仿宋_GB2312" w:cs="DengXian-Regular"/>
          <w:sz w:val="32"/>
          <w:szCs w:val="32"/>
        </w:rPr>
      </w:pPr>
      <w:r>
        <w:rPr>
          <w:rFonts w:hint="eastAsia" w:ascii="仿宋_GB2312" w:hAnsi="仿宋" w:eastAsia="仿宋_GB2312" w:cs="DengXian-Regular"/>
          <w:sz w:val="32"/>
          <w:szCs w:val="32"/>
        </w:rPr>
        <w:t>本部门2018年度政府采购支出总额</w:t>
      </w:r>
      <w:r>
        <w:rPr>
          <w:rFonts w:hint="eastAsia" w:ascii="仿宋_GB2312" w:hAnsi="仿宋" w:eastAsia="仿宋_GB2312" w:cs="宋体"/>
          <w:sz w:val="32"/>
          <w:szCs w:val="32"/>
        </w:rPr>
        <w:t>462.54</w:t>
      </w:r>
      <w:r>
        <w:rPr>
          <w:rFonts w:hint="eastAsia" w:ascii="仿宋_GB2312" w:hAnsi="仿宋" w:eastAsia="仿宋_GB2312" w:cs="DengXian-Regular"/>
          <w:sz w:val="32"/>
          <w:szCs w:val="32"/>
        </w:rPr>
        <w:t>万元，从采购类型来看，</w:t>
      </w:r>
      <w:r>
        <w:rPr>
          <w:rFonts w:hint="eastAsia" w:ascii="仿宋_GB2312" w:hAnsi="仿宋" w:eastAsia="仿宋_GB2312" w:cs="仿宋_GB2312"/>
          <w:kern w:val="0"/>
          <w:sz w:val="32"/>
          <w:szCs w:val="32"/>
        </w:rPr>
        <w:t>政府采购货物支出50</w:t>
      </w:r>
      <w:r>
        <w:rPr>
          <w:rFonts w:hint="eastAsia" w:ascii="仿宋_GB2312" w:hAnsi="仿宋" w:eastAsia="仿宋_GB2312" w:cs="宋体"/>
          <w:kern w:val="0"/>
          <w:sz w:val="32"/>
          <w:szCs w:val="32"/>
        </w:rPr>
        <w:t>.24</w:t>
      </w:r>
      <w:r>
        <w:rPr>
          <w:rFonts w:hint="eastAsia" w:ascii="仿宋_GB2312" w:hAnsi="仿宋" w:eastAsia="仿宋_GB2312" w:cs="仿宋_GB2312"/>
          <w:kern w:val="0"/>
          <w:sz w:val="32"/>
          <w:szCs w:val="32"/>
        </w:rPr>
        <w:t xml:space="preserve"> 万元、政府采购工程支出0万元、政府采购服务支出</w:t>
      </w:r>
      <w:r>
        <w:rPr>
          <w:rFonts w:hint="eastAsia" w:ascii="仿宋_GB2312" w:hAnsi="仿宋" w:eastAsia="仿宋_GB2312" w:cs="宋体"/>
          <w:kern w:val="0"/>
          <w:sz w:val="32"/>
          <w:szCs w:val="32"/>
        </w:rPr>
        <w:t>412.3</w:t>
      </w:r>
      <w:r>
        <w:rPr>
          <w:rFonts w:hint="eastAsia" w:ascii="仿宋_GB2312" w:hAnsi="仿宋" w:eastAsia="仿宋_GB2312" w:cs="仿宋_GB2312"/>
          <w:kern w:val="0"/>
          <w:sz w:val="32"/>
          <w:szCs w:val="32"/>
        </w:rPr>
        <w:t>万元。授予中小企业合同金额462.54万元，占政府采购支出总额的100%，其中授予中小、小微合同金额462.54万元，占政府采购支出总额的100%。</w:t>
      </w:r>
      <w:bookmarkStart w:id="1" w:name="_GoBack"/>
      <w:bookmarkEnd w:id="1"/>
    </w:p>
    <w:p>
      <w:pPr>
        <w:pStyle w:val="4"/>
        <w:spacing w:before="0" w:after="0" w:line="580" w:lineRule="exact"/>
        <w:ind w:firstLine="643" w:firstLineChars="200"/>
        <w:rPr>
          <w:rFonts w:ascii="楷体_GB2312" w:eastAsia="楷体_GB2312" w:cs="DengXian-Bold"/>
        </w:rPr>
      </w:pPr>
      <w:r>
        <w:rPr>
          <w:rFonts w:hint="eastAsia" w:ascii="宋体" w:hAnsi="宋体" w:cs="宋体"/>
        </w:rPr>
        <w:t>3.</w:t>
      </w:r>
      <w:r>
        <w:rPr>
          <w:rFonts w:hint="eastAsia" w:ascii="楷体_GB2312" w:eastAsia="楷体_GB2312" w:cs="DengXian-Bold"/>
        </w:rPr>
        <w:t>国有资产占用情况</w:t>
      </w:r>
    </w:p>
    <w:p>
      <w:pPr>
        <w:adjustRightInd w:val="0"/>
        <w:snapToGrid w:val="0"/>
        <w:spacing w:after="0" w:line="580" w:lineRule="exact"/>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截至2018年12月31日，文安县林业局共有车辆1</w:t>
      </w:r>
      <w:r>
        <w:rPr>
          <w:rFonts w:hint="eastAsia" w:ascii="仿宋_GB2312" w:hAnsi="仿宋" w:eastAsia="仿宋_GB2312" w:cs="宋体"/>
          <w:sz w:val="32"/>
          <w:szCs w:val="32"/>
        </w:rPr>
        <w:t>4</w:t>
      </w:r>
      <w:r>
        <w:rPr>
          <w:rFonts w:hint="eastAsia" w:ascii="仿宋_GB2312" w:hAnsi="仿宋" w:eastAsia="仿宋_GB2312" w:cs="DengXian-Regular"/>
          <w:sz w:val="32"/>
          <w:szCs w:val="32"/>
        </w:rPr>
        <w:t>辆，与上年决算持平。</w:t>
      </w:r>
      <w:r>
        <w:rPr>
          <w:rFonts w:hint="eastAsia" w:ascii="仿宋_GB2312" w:hAnsi="仿宋" w:eastAsia="仿宋_GB2312"/>
          <w:sz w:val="32"/>
          <w:szCs w:val="32"/>
        </w:rPr>
        <w:t>其中，</w:t>
      </w:r>
      <w:r>
        <w:rPr>
          <w:rFonts w:hint="eastAsia" w:ascii="仿宋_GB2312" w:hAnsi="仿宋" w:eastAsia="仿宋_GB2312" w:cs="DengXian-Regular"/>
          <w:sz w:val="32"/>
          <w:szCs w:val="32"/>
        </w:rPr>
        <w:t>副部（省）级及以上领导用车0辆，主要领导干部用车0辆，机要通信用车9辆，应</w:t>
      </w:r>
      <w:r>
        <w:rPr>
          <w:rFonts w:hint="eastAsia" w:ascii="仿宋_GB2312" w:hAnsi="宋体" w:eastAsia="仿宋_GB2312" w:cs="宋体"/>
          <w:sz w:val="32"/>
          <w:szCs w:val="32"/>
        </w:rPr>
        <w:t>急</w:t>
      </w:r>
      <w:r>
        <w:rPr>
          <w:rFonts w:hint="eastAsia" w:ascii="仿宋_GB2312" w:hAnsi="仿宋" w:eastAsia="仿宋_GB2312" w:cs="DengXian-Regular"/>
          <w:sz w:val="32"/>
          <w:szCs w:val="32"/>
        </w:rPr>
        <w:t>保障用车0辆，执法执勤用车0辆，特种专业技术用车0辆，离退休干部用车0辆，其他用车5辆，其他用车主要是用于</w:t>
      </w:r>
      <w:r>
        <w:rPr>
          <w:rFonts w:hint="eastAsia" w:ascii="仿宋_GB2312" w:hAnsi="宋体" w:eastAsia="仿宋_GB2312" w:cs="宋体"/>
          <w:sz w:val="32"/>
          <w:szCs w:val="32"/>
        </w:rPr>
        <w:t>洒</w:t>
      </w:r>
      <w:r>
        <w:rPr>
          <w:rFonts w:hint="eastAsia" w:ascii="仿宋_GB2312" w:hAnsi="仿宋" w:eastAsia="仿宋_GB2312" w:cs="DengXian-Regular"/>
          <w:sz w:val="32"/>
          <w:szCs w:val="32"/>
        </w:rPr>
        <w:t>水、森防、绿化专业。单位价值</w:t>
      </w:r>
      <w:r>
        <w:rPr>
          <w:rFonts w:hint="eastAsia" w:ascii="仿宋_GB2312" w:hAnsi="仿宋" w:eastAsia="仿宋_GB2312" w:cs="TimesNewRomanPSMT"/>
          <w:sz w:val="32"/>
          <w:szCs w:val="32"/>
        </w:rPr>
        <w:t>50</w:t>
      </w:r>
      <w:r>
        <w:rPr>
          <w:rFonts w:hint="eastAsia" w:ascii="仿宋_GB2312" w:hAnsi="仿宋" w:eastAsia="仿宋_GB2312" w:cs="DengXian-Regular"/>
          <w:sz w:val="32"/>
          <w:szCs w:val="32"/>
        </w:rPr>
        <w:t>万元以上通用设备0台，单位价值</w:t>
      </w:r>
      <w:r>
        <w:rPr>
          <w:rFonts w:hint="eastAsia" w:ascii="仿宋_GB2312" w:hAnsi="仿宋" w:eastAsia="仿宋_GB2312" w:cs="TimesNewRomanPSMT"/>
          <w:sz w:val="32"/>
          <w:szCs w:val="32"/>
        </w:rPr>
        <w:t>100</w:t>
      </w:r>
      <w:r>
        <w:rPr>
          <w:rFonts w:hint="eastAsia" w:ascii="仿宋_GB2312" w:hAnsi="仿宋" w:eastAsia="仿宋_GB2312" w:cs="DengXian-Regular"/>
          <w:sz w:val="32"/>
          <w:szCs w:val="32"/>
        </w:rPr>
        <w:t>万元以上专用设备0台</w:t>
      </w:r>
      <w:r>
        <w:rPr>
          <w:rFonts w:hint="eastAsia" w:ascii="仿宋_GB2312" w:hAnsi="仿宋" w:eastAsia="仿宋_GB2312"/>
          <w:sz w:val="32"/>
          <w:szCs w:val="32"/>
        </w:rPr>
        <w:t>，与上年持平。</w:t>
      </w:r>
    </w:p>
    <w:p>
      <w:pPr>
        <w:pStyle w:val="4"/>
        <w:spacing w:before="0" w:after="0" w:line="580" w:lineRule="exact"/>
        <w:ind w:firstLine="643" w:firstLineChars="200"/>
        <w:rPr>
          <w:rFonts w:ascii="楷体_GB2312" w:eastAsia="楷体_GB2312" w:cs="DengXian-Bold"/>
        </w:rPr>
      </w:pPr>
      <w:r>
        <w:rPr>
          <w:rFonts w:hint="eastAsia" w:ascii="宋体" w:hAnsi="宋体" w:cs="宋体"/>
        </w:rPr>
        <w:t>4.</w:t>
      </w:r>
      <w:r>
        <w:rPr>
          <w:rFonts w:hint="eastAsia" w:ascii="楷体_GB2312" w:eastAsia="楷体_GB2312" w:cs="DengXian-Bold"/>
        </w:rPr>
        <w:t>其他需要说明的情况</w:t>
      </w:r>
    </w:p>
    <w:p>
      <w:pPr>
        <w:adjustRightInd w:val="0"/>
        <w:snapToGrid w:val="0"/>
        <w:spacing w:after="0" w:line="580" w:lineRule="exact"/>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1、本部门2018年度国有资产经营预算财政拨款支出决算表无收支及结转结余情况，故</w:t>
      </w:r>
      <w:r>
        <w:rPr>
          <w:rFonts w:hint="eastAsia" w:ascii="仿宋_GB2312" w:hAnsi="仿宋" w:eastAsia="仿宋_GB2312" w:cs="宋体"/>
          <w:sz w:val="32"/>
          <w:szCs w:val="32"/>
        </w:rPr>
        <w:t>z10</w:t>
      </w:r>
      <w:r>
        <w:rPr>
          <w:rFonts w:hint="eastAsia" w:ascii="仿宋_GB2312" w:hAnsi="仿宋" w:eastAsia="仿宋_GB2312" w:cs="DengXian-Regular"/>
          <w:sz w:val="32"/>
          <w:szCs w:val="32"/>
        </w:rPr>
        <w:t>表以空表列示。</w:t>
      </w:r>
    </w:p>
    <w:p>
      <w:pPr>
        <w:adjustRightInd w:val="0"/>
        <w:snapToGrid w:val="0"/>
        <w:spacing w:after="0" w:line="580" w:lineRule="exact"/>
        <w:ind w:firstLine="640" w:firstLineChars="200"/>
        <w:rPr>
          <w:rFonts w:hint="eastAsia" w:ascii="仿宋_GB2312" w:hAnsi="仿宋" w:eastAsia="仿宋_GB2312" w:cs="DengXian-Regular"/>
          <w:sz w:val="32"/>
          <w:szCs w:val="32"/>
        </w:rPr>
      </w:pPr>
      <w:r>
        <w:rPr>
          <w:rFonts w:hint="eastAsia" w:ascii="仿宋_GB2312" w:hAnsi="仿宋" w:eastAsia="仿宋_GB2312" w:cs="DengXian-Regular"/>
          <w:sz w:val="32"/>
          <w:szCs w:val="32"/>
        </w:rPr>
        <w:t>2、由于决算公开表格中金额数值应当保留两位小数，公开数据为四舍五入计算结果，个别数据合计项与分项之和存在小数点后差额，特此说明。</w:t>
      </w:r>
    </w:p>
    <w:p>
      <w:pPr>
        <w:adjustRightInd w:val="0"/>
        <w:snapToGrid w:val="0"/>
        <w:spacing w:after="0" w:line="580" w:lineRule="exact"/>
        <w:ind w:firstLine="800" w:firstLineChars="250"/>
        <w:rPr>
          <w:rFonts w:ascii="仿宋_GB2312" w:cs="DengXian-Regular"/>
          <w:sz w:val="32"/>
          <w:szCs w:val="32"/>
        </w:rPr>
      </w:pPr>
      <w:r>
        <w:rPr>
          <w:rFonts w:hint="eastAsia" w:ascii="仿宋_GB2312" w:cs="DengXian-Regular"/>
          <w:sz w:val="32"/>
          <w:szCs w:val="32"/>
        </w:rPr>
        <w:t>四、</w:t>
      </w:r>
      <w:r>
        <w:rPr>
          <w:rFonts w:hint="eastAsia" w:ascii="黑体" w:hAnsi="黑体" w:eastAsia="黑体" w:cs="DengXian-Regular"/>
          <w:sz w:val="32"/>
          <w:szCs w:val="32"/>
        </w:rPr>
        <w:t>名词解释</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libri" w:eastAsia="仿宋_GB2312" w:cs="ArialUnicodeMS"/>
          <w:kern w:val="0"/>
          <w:sz w:val="32"/>
          <w:szCs w:val="32"/>
        </w:rPr>
      </w:pPr>
      <w:r>
        <w:rPr>
          <w:rFonts w:hint="eastAsia" w:ascii="仿宋_GB2312" w:hAnsi="宋体" w:eastAsia="仿宋_GB2312"/>
          <w:b/>
          <w:bCs/>
          <w:color w:val="000000"/>
          <w:kern w:val="0"/>
          <w:sz w:val="32"/>
          <w:szCs w:val="32"/>
        </w:rPr>
        <w:t>（十七）经费形式:</w:t>
      </w:r>
      <w:r>
        <w:rPr>
          <w:rFonts w:hint="eastAsia" w:ascii="仿宋_GB2312" w:hAnsi="宋体" w:eastAsia="仿宋_GB2312"/>
          <w:color w:val="000000"/>
          <w:kern w:val="0"/>
          <w:sz w:val="32"/>
          <w:szCs w:val="32"/>
        </w:rPr>
        <w:t>按照经费来源，</w:t>
      </w:r>
      <w:r>
        <w:rPr>
          <w:rFonts w:hint="eastAsia" w:ascii="仿宋_GB2312" w:hAnsi="Calibri" w:eastAsia="仿宋_GB2312" w:cs="ArialUnicodeMS"/>
          <w:kern w:val="0"/>
          <w:sz w:val="32"/>
          <w:szCs w:val="32"/>
        </w:rPr>
        <w:t>可分为财政拨款、财政性资金基本保证、财政性资金定额或定项补助、财政性资金零补助四类。</w:t>
      </w:r>
    </w:p>
    <w:p>
      <w:pPr>
        <w:widowControl/>
        <w:spacing w:line="1200" w:lineRule="exact"/>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jc w:val="center"/>
        <w:rPr>
          <w:rFonts w:ascii="黑体" w:hAnsi="宋体" w:eastAsia="黑体"/>
          <w:color w:val="000000"/>
          <w:sz w:val="96"/>
          <w:szCs w:val="96"/>
        </w:rPr>
      </w:pPr>
    </w:p>
    <w:p>
      <w:pPr>
        <w:widowControl/>
        <w:spacing w:line="1200" w:lineRule="exact"/>
        <w:rPr>
          <w:rFonts w:ascii="仿宋_GB2312" w:hAnsi="Cambria" w:eastAsia="仿宋_GB2312" w:cs="ArialUnicodeMS"/>
          <w:kern w:val="0"/>
          <w:sz w:val="32"/>
          <w:szCs w:val="32"/>
        </w:rPr>
      </w:pPr>
    </w:p>
    <w:sectPr>
      <w:pgSz w:w="11906" w:h="16838"/>
      <w:pgMar w:top="2098" w:right="1474" w:bottom="1984" w:left="1588"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358E40-03D5-4EAD-9E2F-20D487A52D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1F16E82-7D91-467D-8FED-9296555DD8D7}"/>
  </w:font>
  <w:font w:name="Cambria">
    <w:panose1 w:val="02040503050406030204"/>
    <w:charset w:val="00"/>
    <w:family w:val="roman"/>
    <w:pitch w:val="default"/>
    <w:sig w:usb0="E00006FF" w:usb1="420024FF" w:usb2="02000000" w:usb3="00000000" w:csb0="2000019F" w:csb1="00000000"/>
    <w:embedRegular r:id="rId3" w:fontKey="{22E90980-ACD1-41C8-9931-AB4D0C192CC9}"/>
  </w:font>
  <w:font w:name="仿宋_GB2312">
    <w:panose1 w:val="02010609030101010101"/>
    <w:charset w:val="86"/>
    <w:family w:val="modern"/>
    <w:pitch w:val="default"/>
    <w:sig w:usb0="00000000" w:usb1="00000000" w:usb2="00000000" w:usb3="00000000" w:csb0="00000000" w:csb1="00000000"/>
    <w:embedRegular r:id="rId4" w:fontKey="{31950DE5-5095-4625-80E2-295BEF4BE245}"/>
  </w:font>
  <w:font w:name="仿宋">
    <w:panose1 w:val="02010609060101010101"/>
    <w:charset w:val="86"/>
    <w:family w:val="modern"/>
    <w:pitch w:val="default"/>
    <w:sig w:usb0="800002BF" w:usb1="38CF7CFA" w:usb2="00000016" w:usb3="00000000" w:csb0="00040001" w:csb1="00000000"/>
    <w:embedRegular r:id="rId5" w:fontKey="{8B93E32D-56FE-43A2-8BED-597D2192897A}"/>
  </w:font>
  <w:font w:name="Arial">
    <w:panose1 w:val="020B0604020202020204"/>
    <w:charset w:val="00"/>
    <w:family w:val="swiss"/>
    <w:pitch w:val="default"/>
    <w:sig w:usb0="E0002EFF" w:usb1="C000785B" w:usb2="00000009" w:usb3="00000000" w:csb0="400001FF" w:csb1="FFFF0000"/>
    <w:embedRegular r:id="rId6" w:fontKey="{E4558C0F-8CBF-4BCC-87AD-6BB9C9D69633}"/>
  </w:font>
  <w:font w:name="___WRD_EMBED_SUB_39">
    <w:panose1 w:val="02010609030101010101"/>
    <w:charset w:val="86"/>
    <w:family w:val="modern"/>
    <w:pitch w:val="default"/>
    <w:sig w:usb0="00000000" w:usb1="00000000" w:usb2="00000000" w:usb3="00000000" w:csb0="00000000" w:csb1="00000000"/>
    <w:embedRegular r:id="rId7" w:fontKey="{DC2E886B-DC18-4A7B-8518-F6B6F91BD537}"/>
  </w:font>
  <w:font w:name="ArialUnicodeMS">
    <w:altName w:val="Malgun Gothic"/>
    <w:panose1 w:val="00000000000000000000"/>
    <w:charset w:val="81"/>
    <w:family w:val="auto"/>
    <w:pitch w:val="default"/>
    <w:sig w:usb0="00000000" w:usb1="00000000" w:usb2="00000010" w:usb3="00000000" w:csb0="00080001" w:csb1="00000000"/>
    <w:embedRegular r:id="rId8" w:fontKey="{03BDD6CE-5513-4EA3-BF5B-3EECB8C51628}"/>
  </w:font>
  <w:font w:name="DengXian-Regular">
    <w:altName w:val="宋体"/>
    <w:panose1 w:val="00000000000000000000"/>
    <w:charset w:val="86"/>
    <w:family w:val="auto"/>
    <w:pitch w:val="default"/>
    <w:sig w:usb0="00000000" w:usb1="00000000" w:usb2="00000010" w:usb3="00000000" w:csb0="00040001" w:csb1="00000000"/>
    <w:embedRegular r:id="rId9" w:fontKey="{D36E745E-857A-41FE-A305-A9C106B66192}"/>
  </w:font>
  <w:font w:name="楷体_GB2312">
    <w:panose1 w:val="02010609030101010101"/>
    <w:charset w:val="86"/>
    <w:family w:val="modern"/>
    <w:pitch w:val="default"/>
    <w:sig w:usb0="00000000" w:usb1="00000000" w:usb2="00000000" w:usb3="00000000" w:csb0="00000000" w:csb1="00000000"/>
    <w:embedRegular r:id="rId10" w:fontKey="{BCCA5AAE-73E4-4FFF-8546-C5FEBAF11E13}"/>
  </w:font>
  <w:font w:name="DengXian-Bold">
    <w:altName w:val="宋体"/>
    <w:panose1 w:val="00000000000000000000"/>
    <w:charset w:val="86"/>
    <w:family w:val="auto"/>
    <w:pitch w:val="default"/>
    <w:sig w:usb0="00000000" w:usb1="00000000" w:usb2="00000010" w:usb3="00000000" w:csb0="00040001" w:csb1="00000000"/>
    <w:embedRegular r:id="rId11" w:fontKey="{6B163653-76C3-4450-983A-6F43E7CCB5A7}"/>
  </w:font>
  <w:font w:name="楷体">
    <w:panose1 w:val="02010609060101010101"/>
    <w:charset w:val="86"/>
    <w:family w:val="modern"/>
    <w:pitch w:val="default"/>
    <w:sig w:usb0="800002BF" w:usb1="38CF7CFA" w:usb2="00000016" w:usb3="00000000" w:csb0="00040001" w:csb1="00000000"/>
    <w:embedRegular r:id="rId12" w:fontKey="{706A1249-D1E4-4955-89AD-66440B9CDC9D}"/>
  </w:font>
  <w:font w:name="TimesNewRomanPSMT">
    <w:altName w:val="Times New Roman"/>
    <w:panose1 w:val="00000000000000000000"/>
    <w:charset w:val="00"/>
    <w:family w:val="swiss"/>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val="1"/>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12BC3"/>
    <w:rsid w:val="00020FAF"/>
    <w:rsid w:val="00022474"/>
    <w:rsid w:val="00024E7F"/>
    <w:rsid w:val="00027C99"/>
    <w:rsid w:val="000475A0"/>
    <w:rsid w:val="00067693"/>
    <w:rsid w:val="00070FEF"/>
    <w:rsid w:val="00072E79"/>
    <w:rsid w:val="000838C3"/>
    <w:rsid w:val="00085B4D"/>
    <w:rsid w:val="000B2446"/>
    <w:rsid w:val="000C20B7"/>
    <w:rsid w:val="000D190D"/>
    <w:rsid w:val="000D7C65"/>
    <w:rsid w:val="000E2F81"/>
    <w:rsid w:val="00101F8D"/>
    <w:rsid w:val="00117946"/>
    <w:rsid w:val="00117E2C"/>
    <w:rsid w:val="00142163"/>
    <w:rsid w:val="00146C47"/>
    <w:rsid w:val="00151A8C"/>
    <w:rsid w:val="00152FB8"/>
    <w:rsid w:val="00170D34"/>
    <w:rsid w:val="00176658"/>
    <w:rsid w:val="0018239E"/>
    <w:rsid w:val="00185A0F"/>
    <w:rsid w:val="001A148C"/>
    <w:rsid w:val="001B3410"/>
    <w:rsid w:val="001B7503"/>
    <w:rsid w:val="001C030D"/>
    <w:rsid w:val="001C4A84"/>
    <w:rsid w:val="001E5902"/>
    <w:rsid w:val="001E68AD"/>
    <w:rsid w:val="00233705"/>
    <w:rsid w:val="00245481"/>
    <w:rsid w:val="00246D99"/>
    <w:rsid w:val="00257266"/>
    <w:rsid w:val="00262306"/>
    <w:rsid w:val="00274734"/>
    <w:rsid w:val="00275CA2"/>
    <w:rsid w:val="0029512E"/>
    <w:rsid w:val="002A30D4"/>
    <w:rsid w:val="002A65A5"/>
    <w:rsid w:val="002C04C4"/>
    <w:rsid w:val="002C3683"/>
    <w:rsid w:val="002C6D2D"/>
    <w:rsid w:val="002D08B0"/>
    <w:rsid w:val="002D1AE3"/>
    <w:rsid w:val="002D5650"/>
    <w:rsid w:val="002F2ECE"/>
    <w:rsid w:val="0032699B"/>
    <w:rsid w:val="00326ACF"/>
    <w:rsid w:val="003411D9"/>
    <w:rsid w:val="00341C8F"/>
    <w:rsid w:val="0035463A"/>
    <w:rsid w:val="00391D9D"/>
    <w:rsid w:val="003B6C51"/>
    <w:rsid w:val="003C1413"/>
    <w:rsid w:val="003C549F"/>
    <w:rsid w:val="003D5A16"/>
    <w:rsid w:val="003E7DB3"/>
    <w:rsid w:val="00414C84"/>
    <w:rsid w:val="00431175"/>
    <w:rsid w:val="004374A3"/>
    <w:rsid w:val="004411CA"/>
    <w:rsid w:val="00493686"/>
    <w:rsid w:val="004B6E37"/>
    <w:rsid w:val="004C32BA"/>
    <w:rsid w:val="004C6244"/>
    <w:rsid w:val="004C68EF"/>
    <w:rsid w:val="00513A4A"/>
    <w:rsid w:val="00521103"/>
    <w:rsid w:val="00533034"/>
    <w:rsid w:val="00550EC0"/>
    <w:rsid w:val="00575922"/>
    <w:rsid w:val="005A3C0D"/>
    <w:rsid w:val="005A3C55"/>
    <w:rsid w:val="005A6C90"/>
    <w:rsid w:val="005B042A"/>
    <w:rsid w:val="005B37E6"/>
    <w:rsid w:val="005B6846"/>
    <w:rsid w:val="005E3FB0"/>
    <w:rsid w:val="005F4B66"/>
    <w:rsid w:val="005F5208"/>
    <w:rsid w:val="00615C31"/>
    <w:rsid w:val="00637179"/>
    <w:rsid w:val="00641318"/>
    <w:rsid w:val="0064405D"/>
    <w:rsid w:val="00645ECB"/>
    <w:rsid w:val="00652D27"/>
    <w:rsid w:val="006548EE"/>
    <w:rsid w:val="00665F67"/>
    <w:rsid w:val="00670C55"/>
    <w:rsid w:val="00695557"/>
    <w:rsid w:val="006D4EA7"/>
    <w:rsid w:val="006E5D91"/>
    <w:rsid w:val="0070012A"/>
    <w:rsid w:val="0070664B"/>
    <w:rsid w:val="007071B8"/>
    <w:rsid w:val="007155C2"/>
    <w:rsid w:val="00733A5B"/>
    <w:rsid w:val="00736DE1"/>
    <w:rsid w:val="007405AE"/>
    <w:rsid w:val="007414DE"/>
    <w:rsid w:val="00746505"/>
    <w:rsid w:val="00760C0C"/>
    <w:rsid w:val="007905A9"/>
    <w:rsid w:val="00792F48"/>
    <w:rsid w:val="007950AB"/>
    <w:rsid w:val="007A352D"/>
    <w:rsid w:val="007A3BA2"/>
    <w:rsid w:val="007E072B"/>
    <w:rsid w:val="007E5500"/>
    <w:rsid w:val="007F055B"/>
    <w:rsid w:val="00811C2F"/>
    <w:rsid w:val="00833D46"/>
    <w:rsid w:val="00836215"/>
    <w:rsid w:val="00840A97"/>
    <w:rsid w:val="00846454"/>
    <w:rsid w:val="00856ACF"/>
    <w:rsid w:val="00856F6B"/>
    <w:rsid w:val="00872B02"/>
    <w:rsid w:val="00873292"/>
    <w:rsid w:val="00880A3E"/>
    <w:rsid w:val="008A640A"/>
    <w:rsid w:val="008A7B5D"/>
    <w:rsid w:val="008B2785"/>
    <w:rsid w:val="008C0149"/>
    <w:rsid w:val="008D1A70"/>
    <w:rsid w:val="008D5DED"/>
    <w:rsid w:val="008D7BBF"/>
    <w:rsid w:val="008E0424"/>
    <w:rsid w:val="008E25CA"/>
    <w:rsid w:val="008F34FC"/>
    <w:rsid w:val="008F4B80"/>
    <w:rsid w:val="00944CD7"/>
    <w:rsid w:val="00961190"/>
    <w:rsid w:val="00961E56"/>
    <w:rsid w:val="009831B2"/>
    <w:rsid w:val="009A1ABE"/>
    <w:rsid w:val="009B058E"/>
    <w:rsid w:val="009E21A4"/>
    <w:rsid w:val="009E5D3D"/>
    <w:rsid w:val="009F22C6"/>
    <w:rsid w:val="009F5340"/>
    <w:rsid w:val="00A07E50"/>
    <w:rsid w:val="00A12C15"/>
    <w:rsid w:val="00A15397"/>
    <w:rsid w:val="00A30E13"/>
    <w:rsid w:val="00A35CE0"/>
    <w:rsid w:val="00A4462E"/>
    <w:rsid w:val="00A44AA4"/>
    <w:rsid w:val="00A61623"/>
    <w:rsid w:val="00A84687"/>
    <w:rsid w:val="00A92AAE"/>
    <w:rsid w:val="00AA0458"/>
    <w:rsid w:val="00AB0A0E"/>
    <w:rsid w:val="00AD3B6E"/>
    <w:rsid w:val="00AE0B9F"/>
    <w:rsid w:val="00AF6D31"/>
    <w:rsid w:val="00B143C3"/>
    <w:rsid w:val="00B170FE"/>
    <w:rsid w:val="00B1751F"/>
    <w:rsid w:val="00B3212F"/>
    <w:rsid w:val="00B50F96"/>
    <w:rsid w:val="00B56722"/>
    <w:rsid w:val="00B67044"/>
    <w:rsid w:val="00B74D39"/>
    <w:rsid w:val="00B827C6"/>
    <w:rsid w:val="00B91DA4"/>
    <w:rsid w:val="00BA3276"/>
    <w:rsid w:val="00BA7174"/>
    <w:rsid w:val="00BB6D1D"/>
    <w:rsid w:val="00BC570F"/>
    <w:rsid w:val="00BE009D"/>
    <w:rsid w:val="00BF37F7"/>
    <w:rsid w:val="00C10949"/>
    <w:rsid w:val="00C12630"/>
    <w:rsid w:val="00C34562"/>
    <w:rsid w:val="00C3774E"/>
    <w:rsid w:val="00C57456"/>
    <w:rsid w:val="00C6217D"/>
    <w:rsid w:val="00C64531"/>
    <w:rsid w:val="00C65387"/>
    <w:rsid w:val="00C87FAB"/>
    <w:rsid w:val="00C91FF7"/>
    <w:rsid w:val="00C92D15"/>
    <w:rsid w:val="00C94E53"/>
    <w:rsid w:val="00CE1E3F"/>
    <w:rsid w:val="00CE3FC3"/>
    <w:rsid w:val="00CE51CC"/>
    <w:rsid w:val="00D0048E"/>
    <w:rsid w:val="00D217F8"/>
    <w:rsid w:val="00D22576"/>
    <w:rsid w:val="00D23E7A"/>
    <w:rsid w:val="00D25021"/>
    <w:rsid w:val="00D455E1"/>
    <w:rsid w:val="00D56D8F"/>
    <w:rsid w:val="00D61063"/>
    <w:rsid w:val="00D63E8D"/>
    <w:rsid w:val="00D95A6B"/>
    <w:rsid w:val="00DA1CAC"/>
    <w:rsid w:val="00DA2050"/>
    <w:rsid w:val="00DA34B9"/>
    <w:rsid w:val="00DB35AF"/>
    <w:rsid w:val="00DC7B29"/>
    <w:rsid w:val="00DD72D7"/>
    <w:rsid w:val="00DF355C"/>
    <w:rsid w:val="00DF5B88"/>
    <w:rsid w:val="00E0589E"/>
    <w:rsid w:val="00E0697F"/>
    <w:rsid w:val="00E241FA"/>
    <w:rsid w:val="00E2595E"/>
    <w:rsid w:val="00E35156"/>
    <w:rsid w:val="00E35374"/>
    <w:rsid w:val="00E50C19"/>
    <w:rsid w:val="00E64655"/>
    <w:rsid w:val="00E65E19"/>
    <w:rsid w:val="00E73081"/>
    <w:rsid w:val="00E856C9"/>
    <w:rsid w:val="00EA4F68"/>
    <w:rsid w:val="00EB6A8B"/>
    <w:rsid w:val="00EC374A"/>
    <w:rsid w:val="00EC6814"/>
    <w:rsid w:val="00ED411D"/>
    <w:rsid w:val="00EE569D"/>
    <w:rsid w:val="00EF38C6"/>
    <w:rsid w:val="00EF3A16"/>
    <w:rsid w:val="00F06BE8"/>
    <w:rsid w:val="00F302B5"/>
    <w:rsid w:val="00F30E9E"/>
    <w:rsid w:val="00F6286C"/>
    <w:rsid w:val="00F679C7"/>
    <w:rsid w:val="00F67E8F"/>
    <w:rsid w:val="00F7711A"/>
    <w:rsid w:val="00F80C72"/>
    <w:rsid w:val="00F967AE"/>
    <w:rsid w:val="00FA0D58"/>
    <w:rsid w:val="00FA1580"/>
    <w:rsid w:val="00FA56F4"/>
    <w:rsid w:val="00FA66A1"/>
    <w:rsid w:val="00FB205F"/>
    <w:rsid w:val="00FB3408"/>
    <w:rsid w:val="00FB4EDA"/>
    <w:rsid w:val="00FC28B2"/>
    <w:rsid w:val="00FD0A21"/>
    <w:rsid w:val="00FD3BD5"/>
    <w:rsid w:val="00FE3DC8"/>
    <w:rsid w:val="00FE6F42"/>
    <w:rsid w:val="04073F84"/>
    <w:rsid w:val="0B60750A"/>
    <w:rsid w:val="10686488"/>
    <w:rsid w:val="10DF728A"/>
    <w:rsid w:val="12367DD5"/>
    <w:rsid w:val="1264200E"/>
    <w:rsid w:val="141C5B77"/>
    <w:rsid w:val="166C39A7"/>
    <w:rsid w:val="18D8339D"/>
    <w:rsid w:val="1A21388F"/>
    <w:rsid w:val="1A570D2F"/>
    <w:rsid w:val="28FB0B8D"/>
    <w:rsid w:val="2D2B7942"/>
    <w:rsid w:val="2D46481D"/>
    <w:rsid w:val="2E733B28"/>
    <w:rsid w:val="31852B5A"/>
    <w:rsid w:val="32D01238"/>
    <w:rsid w:val="3DFC59A8"/>
    <w:rsid w:val="3ECF245E"/>
    <w:rsid w:val="3FB96314"/>
    <w:rsid w:val="53A44FAF"/>
    <w:rsid w:val="594329EC"/>
    <w:rsid w:val="5BEE1540"/>
    <w:rsid w:val="5D944CA1"/>
    <w:rsid w:val="5DE61A5D"/>
    <w:rsid w:val="5E6F80DA"/>
    <w:rsid w:val="63C04243"/>
    <w:rsid w:val="649C01C7"/>
    <w:rsid w:val="699A3F60"/>
    <w:rsid w:val="72902E62"/>
    <w:rsid w:val="73C61104"/>
    <w:rsid w:val="776452EA"/>
    <w:rsid w:val="7DC663B9"/>
    <w:rsid w:val="7FD2103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mbria" w:hAnsi="Cambria" w:eastAsia="黑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Calibri" w:hAnsi="Calibr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Calibri" w:hAnsi="Calibri"/>
      <w:b/>
      <w:bCs/>
      <w:sz w:val="28"/>
      <w:szCs w:val="28"/>
    </w:rPr>
  </w:style>
  <w:style w:type="character" w:default="1" w:styleId="15">
    <w:name w:val="Default Paragraph Font"/>
    <w:semiHidden/>
    <w:unhideWhenUsed/>
    <w:uiPriority w:val="1"/>
  </w:style>
  <w:style w:type="table" w:default="1" w:styleId="13">
    <w:name w:val="Normal Table"/>
    <w:semiHidden/>
    <w:unhideWhenUsed/>
    <w:qFormat/>
    <w:uiPriority w:val="99"/>
    <w:tblPr>
      <w:tblStyle w:val="13"/>
      <w:tblCellMar>
        <w:top w:w="0" w:type="dxa"/>
        <w:left w:w="108" w:type="dxa"/>
        <w:bottom w:w="0" w:type="dxa"/>
        <w:right w:w="108" w:type="dxa"/>
      </w:tblCellMar>
    </w:tblPr>
    <w:trPr>
      <w:wBefore w:w="0" w:type="dxa"/>
    </w:trPr>
  </w:style>
  <w:style w:type="paragraph" w:styleId="6">
    <w:name w:val="Date"/>
    <w:basedOn w:val="1"/>
    <w:next w:val="1"/>
    <w:link w:val="33"/>
    <w:semiHidden/>
    <w:unhideWhenUsed/>
    <w:qFormat/>
    <w:uiPriority w:val="99"/>
    <w:pPr>
      <w:ind w:left="100" w:leftChars="2500"/>
    </w:pPr>
  </w:style>
  <w:style w:type="paragraph" w:styleId="7">
    <w:name w:val="Balloon Text"/>
    <w:basedOn w:val="1"/>
    <w:link w:val="21"/>
    <w:semiHidden/>
    <w:unhideWhenUsed/>
    <w:qFormat/>
    <w:uiPriority w:val="99"/>
    <w:rPr>
      <w:sz w:val="18"/>
      <w:szCs w:val="18"/>
    </w:rPr>
  </w:style>
  <w:style w:type="paragraph" w:styleId="8">
    <w:name w:val="footer"/>
    <w:basedOn w:val="1"/>
    <w:link w:val="19"/>
    <w:unhideWhenUsed/>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11"/>
    <w:pPr>
      <w:widowControl/>
      <w:spacing w:after="200" w:line="276" w:lineRule="auto"/>
      <w:jc w:val="left"/>
    </w:pPr>
    <w:rPr>
      <w:rFonts w:ascii="Calibri" w:hAnsi="Calibri"/>
      <w:i/>
      <w:iCs/>
      <w:color w:val="F0A22E"/>
      <w:spacing w:val="15"/>
      <w:kern w:val="0"/>
      <w:sz w:val="24"/>
    </w:rPr>
  </w:style>
  <w:style w:type="paragraph" w:styleId="11">
    <w:name w:val="Normal (Web)"/>
    <w:basedOn w:val="1"/>
    <w:unhideWhenUsed/>
    <w:qFormat/>
    <w:uiPriority w:val="0"/>
    <w:pPr>
      <w:spacing w:before="100" w:beforeAutospacing="1" w:after="100" w:afterAutospacing="1" w:line="240" w:lineRule="auto"/>
      <w:jc w:val="left"/>
    </w:pPr>
    <w:rPr>
      <w:rFonts w:ascii="Calibri" w:hAnsi="Calibri"/>
      <w:kern w:val="0"/>
      <w:sz w:val="24"/>
      <w:szCs w:val="20"/>
    </w:rPr>
  </w:style>
  <w:style w:type="paragraph" w:styleId="12">
    <w:name w:val="Title"/>
    <w:basedOn w:val="1"/>
    <w:next w:val="1"/>
    <w:link w:val="22"/>
    <w:qFormat/>
    <w:uiPriority w:val="10"/>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4">
    <w:name w:val="Table Grid"/>
    <w:basedOn w:val="13"/>
    <w:qFormat/>
    <w:uiPriority w:val="1"/>
    <w:rPr>
      <w:sz w:val="22"/>
    </w:rPr>
    <w:tblPr>
      <w:tblStyle w:val="13"/>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6">
    <w:name w:val="No Spacing"/>
    <w:link w:val="20"/>
    <w:qFormat/>
    <w:uiPriority w:val="1"/>
    <w:pPr>
      <w:spacing w:after="160" w:line="480" w:lineRule="auto"/>
    </w:pPr>
    <w:rPr>
      <w:sz w:val="22"/>
      <w:szCs w:val="22"/>
      <w:lang w:val="en-US" w:eastAsia="zh-CN" w:bidi="ar-SA"/>
    </w:rPr>
  </w:style>
  <w:style w:type="paragraph" w:styleId="17">
    <w:name w:val="List Paragraph"/>
    <w:basedOn w:val="1"/>
    <w:unhideWhenUsed/>
    <w:qFormat/>
    <w:uiPriority w:val="99"/>
    <w:pPr>
      <w:ind w:firstLine="420" w:firstLineChars="200"/>
    </w:pPr>
  </w:style>
  <w:style w:type="character" w:customStyle="1" w:styleId="18">
    <w:name w:val="页眉 Char"/>
    <w:basedOn w:val="15"/>
    <w:link w:val="9"/>
    <w:qFormat/>
    <w:uiPriority w:val="99"/>
    <w:rPr>
      <w:sz w:val="18"/>
      <w:szCs w:val="18"/>
    </w:rPr>
  </w:style>
  <w:style w:type="character" w:customStyle="1" w:styleId="19">
    <w:name w:val="页脚 Char"/>
    <w:basedOn w:val="15"/>
    <w:link w:val="8"/>
    <w:qFormat/>
    <w:uiPriority w:val="99"/>
    <w:rPr>
      <w:sz w:val="18"/>
      <w:szCs w:val="18"/>
    </w:rPr>
  </w:style>
  <w:style w:type="character" w:customStyle="1" w:styleId="20">
    <w:name w:val="无间隔 Char"/>
    <w:basedOn w:val="15"/>
    <w:link w:val="16"/>
    <w:qFormat/>
    <w:uiPriority w:val="1"/>
    <w:rPr>
      <w:sz w:val="22"/>
      <w:szCs w:val="22"/>
      <w:lang w:val="en-US" w:eastAsia="zh-CN" w:bidi="ar-SA"/>
    </w:rPr>
  </w:style>
  <w:style w:type="character" w:customStyle="1" w:styleId="21">
    <w:name w:val="批注框文本 Char"/>
    <w:basedOn w:val="15"/>
    <w:link w:val="7"/>
    <w:semiHidden/>
    <w:qFormat/>
    <w:uiPriority w:val="99"/>
    <w:rPr>
      <w:rFonts w:ascii="Times New Roman" w:hAnsi="Times New Roman" w:eastAsia="宋体" w:cs="Times New Roman"/>
      <w:sz w:val="18"/>
      <w:szCs w:val="18"/>
    </w:rPr>
  </w:style>
  <w:style w:type="character" w:customStyle="1" w:styleId="22">
    <w:name w:val="标题 Char"/>
    <w:basedOn w:val="15"/>
    <w:link w:val="12"/>
    <w:qFormat/>
    <w:uiPriority w:val="10"/>
    <w:rPr>
      <w:rFonts w:ascii="Calibri" w:hAnsi="Calibri" w:eastAsia="宋体" w:cs="Times New Roman"/>
      <w:color w:val="3A2C24"/>
      <w:spacing w:val="5"/>
      <w:kern w:val="28"/>
      <w:sz w:val="52"/>
      <w:szCs w:val="52"/>
    </w:rPr>
  </w:style>
  <w:style w:type="character" w:customStyle="1" w:styleId="23">
    <w:name w:val="副标题 Char"/>
    <w:basedOn w:val="15"/>
    <w:link w:val="10"/>
    <w:qFormat/>
    <w:uiPriority w:val="11"/>
    <w:rPr>
      <w:rFonts w:ascii="Calibri" w:hAnsi="Calibri" w:eastAsia="宋体" w:cs="Times New Roman"/>
      <w:i/>
      <w:iCs/>
      <w:color w:val="F0A22E"/>
      <w:spacing w:val="15"/>
      <w:kern w:val="0"/>
      <w:sz w:val="24"/>
      <w:szCs w:val="24"/>
    </w:rPr>
  </w:style>
  <w:style w:type="character" w:customStyle="1" w:styleId="24">
    <w:name w:val="Style1"/>
    <w:basedOn w:val="15"/>
    <w:qFormat/>
    <w:uiPriority w:val="1"/>
    <w:rPr>
      <w:rFonts w:ascii="Cambria" w:hAnsi="黑体" w:eastAsia="黑体" w:cs="Times New Roman"/>
      <w:sz w:val="22"/>
      <w:szCs w:val="22"/>
      <w:lang w:eastAsia="zh-CN"/>
    </w:rPr>
  </w:style>
  <w:style w:type="character" w:customStyle="1" w:styleId="25">
    <w:name w:val="Style2"/>
    <w:basedOn w:val="15"/>
    <w:qFormat/>
    <w:uiPriority w:val="1"/>
    <w:rPr>
      <w:rFonts w:ascii="Cambria" w:hAnsi="黑体" w:eastAsia="黑体" w:cs="Times New Roman"/>
      <w:sz w:val="22"/>
      <w:szCs w:val="22"/>
      <w:lang w:eastAsia="zh-CN"/>
    </w:rPr>
  </w:style>
  <w:style w:type="character" w:customStyle="1" w:styleId="26">
    <w:name w:val="Style3"/>
    <w:basedOn w:val="15"/>
    <w:qFormat/>
    <w:uiPriority w:val="1"/>
    <w:rPr>
      <w:rFonts w:ascii="Cambria" w:hAnsi="黑体" w:eastAsia="黑体" w:cs="Times New Roman"/>
      <w:szCs w:val="22"/>
      <w:lang w:eastAsia="zh-CN"/>
    </w:rPr>
  </w:style>
  <w:style w:type="character" w:customStyle="1" w:styleId="27">
    <w:name w:val="Style4"/>
    <w:basedOn w:val="15"/>
    <w:qFormat/>
    <w:uiPriority w:val="1"/>
    <w:rPr>
      <w:rFonts w:ascii="Cambria" w:hAnsi="黑体" w:eastAsia="黑体" w:cs="Times New Roman"/>
      <w:szCs w:val="22"/>
      <w:lang w:eastAsia="zh-CN"/>
    </w:rPr>
  </w:style>
  <w:style w:type="character" w:customStyle="1" w:styleId="28">
    <w:name w:val="Style5"/>
    <w:basedOn w:val="15"/>
    <w:qFormat/>
    <w:uiPriority w:val="1"/>
    <w:rPr>
      <w:rFonts w:ascii="Cambria" w:hAnsi="黑体" w:eastAsia="黑体" w:cs="Times New Roman"/>
      <w:sz w:val="22"/>
      <w:szCs w:val="22"/>
      <w:lang w:eastAsia="zh-CN"/>
    </w:rPr>
  </w:style>
  <w:style w:type="character" w:customStyle="1" w:styleId="29">
    <w:name w:val="标题 1 Char"/>
    <w:basedOn w:val="15"/>
    <w:link w:val="2"/>
    <w:qFormat/>
    <w:uiPriority w:val="9"/>
    <w:rPr>
      <w:rFonts w:ascii="Times New Roman" w:hAnsi="Times New Roman" w:eastAsia="宋体" w:cs="Times New Roman"/>
      <w:b/>
      <w:bCs/>
      <w:kern w:val="44"/>
      <w:sz w:val="44"/>
      <w:szCs w:val="44"/>
    </w:rPr>
  </w:style>
  <w:style w:type="character" w:customStyle="1" w:styleId="30">
    <w:name w:val="标题 2 Char"/>
    <w:basedOn w:val="15"/>
    <w:link w:val="3"/>
    <w:qFormat/>
    <w:uiPriority w:val="9"/>
    <w:rPr>
      <w:rFonts w:ascii="Calibri" w:hAnsi="Calibri" w:eastAsia="宋体" w:cs="Times New Roman"/>
      <w:b/>
      <w:bCs/>
      <w:sz w:val="32"/>
      <w:szCs w:val="32"/>
    </w:rPr>
  </w:style>
  <w:style w:type="character" w:customStyle="1" w:styleId="31">
    <w:name w:val="标题 3 Char"/>
    <w:basedOn w:val="15"/>
    <w:link w:val="4"/>
    <w:qFormat/>
    <w:uiPriority w:val="9"/>
    <w:rPr>
      <w:rFonts w:ascii="Times New Roman" w:hAnsi="Times New Roman" w:eastAsia="宋体" w:cs="Times New Roman"/>
      <w:b/>
      <w:bCs/>
      <w:sz w:val="32"/>
      <w:szCs w:val="32"/>
    </w:rPr>
  </w:style>
  <w:style w:type="character" w:customStyle="1" w:styleId="32">
    <w:name w:val="标题 4 Char"/>
    <w:basedOn w:val="15"/>
    <w:link w:val="5"/>
    <w:qFormat/>
    <w:uiPriority w:val="9"/>
    <w:rPr>
      <w:rFonts w:ascii="Calibri" w:hAnsi="Calibri" w:eastAsia="宋体" w:cs="Times New Roman"/>
      <w:b/>
      <w:bCs/>
      <w:sz w:val="28"/>
      <w:szCs w:val="28"/>
    </w:rPr>
  </w:style>
  <w:style w:type="character" w:customStyle="1" w:styleId="33">
    <w:name w:val="日期 Char"/>
    <w:basedOn w:val="15"/>
    <w:link w:val="6"/>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1492</Words>
  <Characters>8506</Characters>
  <Lines>70</Lines>
  <Paragraphs>19</Paragraphs>
  <TotalTime>0</TotalTime>
  <ScaleCrop>false</ScaleCrop>
  <LinksUpToDate>false</LinksUpToDate>
  <CharactersWithSpaces>9979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2021-05-24T08:26:00Z</dcterms:created>
  <dc:creator>User</dc:creator>
  <cp:lastModifiedBy>张钰</cp:lastModifiedBy>
  <cp:lastPrinted>2019-09-27T08:42:00Z</cp:lastPrinted>
  <dcterms:modified xsi:type="dcterms:W3CDTF">2021-05-27T09:36:27Z</dcterms:modified>
  <dc:subject>石家庄市xxx部门</dc:subject>
  <dc:title>2017年度部门决算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